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5B" w:rsidRDefault="00B160AB">
      <w:pPr>
        <w:spacing w:before="9" w:line="574" w:lineRule="exact"/>
        <w:ind w:left="120"/>
        <w:rPr>
          <w:rFonts w:ascii="Times New Roman" w:eastAsia="方正黑体_GBK" w:hAnsi="Times New Roman" w:cs="Times New Roman"/>
          <w:sz w:val="32"/>
          <w:szCs w:val="32"/>
          <w:lang w:eastAsia="zh-CN"/>
        </w:rPr>
      </w:pPr>
      <w:r>
        <w:rPr>
          <w:rFonts w:ascii="Times New Roman" w:eastAsia="方正黑体_GBK" w:hAnsi="Times New Roman" w:cs="Times New Roman"/>
          <w:sz w:val="32"/>
          <w:szCs w:val="32"/>
          <w:lang w:eastAsia="zh-CN"/>
        </w:rPr>
        <w:t>附件</w:t>
      </w:r>
      <w:r>
        <w:rPr>
          <w:rFonts w:ascii="Times New Roman" w:eastAsia="方正黑体_GBK" w:hAnsi="Times New Roman" w:cs="Times New Roman" w:hint="eastAsia"/>
          <w:sz w:val="32"/>
          <w:szCs w:val="32"/>
          <w:lang w:eastAsia="zh-CN"/>
        </w:rPr>
        <w:t>7</w:t>
      </w:r>
    </w:p>
    <w:p w:rsidR="00996C5B" w:rsidRDefault="00996C5B">
      <w:pPr>
        <w:spacing w:before="2" w:line="574" w:lineRule="exact"/>
        <w:rPr>
          <w:rFonts w:ascii="宋体" w:eastAsia="宋体" w:hAnsi="宋体" w:cs="宋体"/>
          <w:sz w:val="27"/>
          <w:szCs w:val="27"/>
          <w:lang w:eastAsia="zh-CN"/>
        </w:rPr>
      </w:pPr>
    </w:p>
    <w:p w:rsidR="00996C5B" w:rsidRDefault="00B160AB">
      <w:pPr>
        <w:spacing w:line="574" w:lineRule="exact"/>
        <w:jc w:val="center"/>
        <w:rPr>
          <w:rFonts w:ascii="方正小标宋_GBK" w:eastAsia="方正小标宋_GBK" w:cs="宋体"/>
          <w:sz w:val="44"/>
          <w:szCs w:val="44"/>
          <w:lang w:eastAsia="zh-CN"/>
        </w:rPr>
      </w:pPr>
      <w:r>
        <w:rPr>
          <w:rFonts w:ascii="方正小标宋_GBK" w:eastAsia="方正小标宋_GBK" w:hint="eastAsia"/>
          <w:sz w:val="44"/>
          <w:szCs w:val="44"/>
          <w:lang w:eastAsia="zh-CN"/>
        </w:rPr>
        <w:t>江苏省政府专项债券项目绩效自评价报告</w:t>
      </w:r>
    </w:p>
    <w:p w:rsidR="00913246" w:rsidRDefault="00913246">
      <w:pPr>
        <w:spacing w:line="574" w:lineRule="exact"/>
        <w:ind w:firstLineChars="200" w:firstLine="600"/>
        <w:jc w:val="both"/>
        <w:rPr>
          <w:rFonts w:ascii="仿宋_GB2312" w:eastAsia="仿宋_GB2312" w:hAnsi="黑体" w:hint="eastAsia"/>
          <w:sz w:val="30"/>
          <w:szCs w:val="30"/>
          <w:lang w:eastAsia="zh-CN"/>
        </w:rPr>
      </w:pPr>
    </w:p>
    <w:p w:rsidR="00996C5B" w:rsidRPr="00913246" w:rsidRDefault="00B160AB" w:rsidP="00913246">
      <w:pPr>
        <w:spacing w:line="574" w:lineRule="exact"/>
        <w:ind w:firstLineChars="200" w:firstLine="602"/>
        <w:jc w:val="both"/>
        <w:rPr>
          <w:rFonts w:ascii="仿宋_GB2312" w:eastAsia="仿宋_GB2312" w:hAnsi="黑体" w:hint="eastAsia"/>
          <w:b/>
          <w:sz w:val="30"/>
          <w:szCs w:val="30"/>
          <w:lang w:eastAsia="zh-CN"/>
        </w:rPr>
      </w:pPr>
      <w:r w:rsidRPr="00913246">
        <w:rPr>
          <w:rFonts w:ascii="仿宋_GB2312" w:eastAsia="仿宋_GB2312" w:hAnsi="黑体" w:hint="eastAsia"/>
          <w:b/>
          <w:sz w:val="30"/>
          <w:szCs w:val="30"/>
          <w:lang w:eastAsia="zh-CN"/>
        </w:rPr>
        <w:t>一、项目情况</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1.项目立项背景和目的</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自古以来苏州就有“上有天堂、下有苏杭”的美誉，但高等教育资源则一直比较缺乏，与悠久的历史人文形成较大的反差。苏州名城建设要依托名校，名校发展也离不开名城，名城名校融合发展，为进一步推动名城名校融合发展战略的深入实施，2019年3月16日，苏州市人民政府与南京大学全面战略合作暨南京大学苏州校区建设协议在南京签约。建设南京大学苏州校区是苏州抢抓长江经济带建设、长三角区域一体化发展等国家战略多重叠加的历史机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2.项目立项依据</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该项目系根据《关于苏州高新区（虎丘区）城市建设管理服务中心南京大学苏州校区（西区）项目建议书的批复》（</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项〔2020〕266号）、《关于同意苏州高新区（虎丘区）城市建设管理服务中心南京大学苏州校区（西区）项目建议书变更的通知》（</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项〔2021〕121号）、《关于同意苏州高新区（虎丘区）城市建设管理服务中心南京大学苏州校区（西区）项目建议书变更的通知》（</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项〔2021〕194 号）、《关于苏州高新区（虎丘区）城市建设管理服务中心苏州太湖科学城南大教育园区项目可行性研究报告的批复》（</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项〔2022〕17号）批复立项。</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苏州太湖科学城南大教育园区项目选址在高新区太湖科学城太湖大道以北、昆仑山路以南、长巷路东，总占地面积约796亩，总建筑面积约71万平方米，计划建设期4年。建设内容主要包括：图书馆、文体中心、北大楼群、学生生活综合体、110kV变电站等。西区项目投资主体为苏州高新区（虎丘区）城市建设管理服务中心，苏高新教育产业（苏州）有限公司全过程代建此项目。项目计划于2022年3月开工建设，预计2025年12月竣工交付，项目计划总投资700000万元，其中：政府预算资金安排250000万元，政府专项债券资金安排450000万元。</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3.专项债券基本情况</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苏州太湖科学城南大教育园区项目列入2022年第六批公开发行江苏省政府债券（城镇建设专项债券），项目主管单位为苏州高新区（虎丘区）城市建设管理服务中心，专项债发行金额50000万元，发行期限15年，利率3.18%。</w:t>
      </w:r>
    </w:p>
    <w:p w:rsidR="00996C5B" w:rsidRPr="00913246" w:rsidRDefault="00B160AB" w:rsidP="00913246">
      <w:pPr>
        <w:spacing w:line="574" w:lineRule="exact"/>
        <w:ind w:firstLineChars="200" w:firstLine="594"/>
        <w:jc w:val="both"/>
        <w:rPr>
          <w:rFonts w:ascii="仿宋_GB2312" w:eastAsia="仿宋_GB2312" w:hint="eastAsia"/>
          <w:b/>
          <w:spacing w:val="-4"/>
          <w:sz w:val="30"/>
          <w:szCs w:val="30"/>
          <w:lang w:eastAsia="zh-CN"/>
        </w:rPr>
      </w:pPr>
      <w:r w:rsidRPr="00913246">
        <w:rPr>
          <w:rFonts w:ascii="仿宋_GB2312" w:eastAsia="仿宋_GB2312" w:hint="eastAsia"/>
          <w:b/>
          <w:spacing w:val="-4"/>
          <w:sz w:val="30"/>
          <w:szCs w:val="30"/>
          <w:lang w:eastAsia="zh-CN"/>
        </w:rPr>
        <w:t>二、评价情况</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苏州太湖科学城南大教育园区政府专项债券项目绩效评分为91.2分，等级为“优秀”。本次</w:t>
      </w:r>
      <w:bookmarkStart w:id="0" w:name="_GoBack"/>
      <w:bookmarkEnd w:id="0"/>
      <w:r w:rsidRPr="003D41DE">
        <w:rPr>
          <w:rFonts w:ascii="仿宋_GB2312" w:eastAsia="仿宋_GB2312" w:hint="eastAsia"/>
          <w:spacing w:val="-4"/>
          <w:sz w:val="30"/>
          <w:szCs w:val="30"/>
          <w:lang w:eastAsia="zh-CN"/>
        </w:rPr>
        <w:t>的指标体系由四部分组成，具体结果如下:</w:t>
      </w:r>
    </w:p>
    <w:tbl>
      <w:tblPr>
        <w:tblW w:w="7683" w:type="dxa"/>
        <w:tblInd w:w="789" w:type="dxa"/>
        <w:tblLayout w:type="fixed"/>
        <w:tblLook w:val="0000" w:firstRow="0" w:lastRow="0" w:firstColumn="0" w:lastColumn="0" w:noHBand="0" w:noVBand="0"/>
      </w:tblPr>
      <w:tblGrid>
        <w:gridCol w:w="2420"/>
        <w:gridCol w:w="2569"/>
        <w:gridCol w:w="2694"/>
      </w:tblGrid>
      <w:tr w:rsidR="007C008B" w:rsidRPr="003D41DE" w:rsidTr="007C008B">
        <w:trPr>
          <w:trHeight w:val="349"/>
        </w:trPr>
        <w:tc>
          <w:tcPr>
            <w:tcW w:w="242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一级指标</w:t>
            </w:r>
          </w:p>
        </w:tc>
        <w:tc>
          <w:tcPr>
            <w:tcW w:w="2569"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权重</w:t>
            </w:r>
          </w:p>
        </w:tc>
        <w:tc>
          <w:tcPr>
            <w:tcW w:w="269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评分</w:t>
            </w:r>
          </w:p>
        </w:tc>
      </w:tr>
      <w:tr w:rsidR="007C008B" w:rsidRPr="003D41DE" w:rsidTr="007C008B">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过程</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30</w:t>
            </w:r>
          </w:p>
        </w:tc>
        <w:tc>
          <w:tcPr>
            <w:tcW w:w="2694"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29.00</w:t>
            </w:r>
          </w:p>
        </w:tc>
      </w:tr>
      <w:tr w:rsidR="007C008B" w:rsidRPr="003D41DE" w:rsidTr="007C008B">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产出</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37</w:t>
            </w:r>
          </w:p>
        </w:tc>
        <w:tc>
          <w:tcPr>
            <w:tcW w:w="2694"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29.20</w:t>
            </w:r>
          </w:p>
        </w:tc>
      </w:tr>
      <w:tr w:rsidR="007C008B" w:rsidRPr="003D41DE" w:rsidTr="007C008B">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效益</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25</w:t>
            </w:r>
          </w:p>
        </w:tc>
        <w:tc>
          <w:tcPr>
            <w:tcW w:w="2694"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25.00</w:t>
            </w:r>
          </w:p>
        </w:tc>
      </w:tr>
      <w:tr w:rsidR="007C008B" w:rsidRPr="003D41DE" w:rsidTr="007C008B">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满意度</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8</w:t>
            </w:r>
          </w:p>
        </w:tc>
        <w:tc>
          <w:tcPr>
            <w:tcW w:w="2694"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8.00</w:t>
            </w:r>
          </w:p>
        </w:tc>
      </w:tr>
      <w:tr w:rsidR="007C008B" w:rsidRPr="003D41DE" w:rsidTr="007C008B">
        <w:trPr>
          <w:trHeight w:val="320"/>
        </w:trPr>
        <w:tc>
          <w:tcPr>
            <w:tcW w:w="2420"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合计</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100</w:t>
            </w:r>
          </w:p>
        </w:tc>
        <w:tc>
          <w:tcPr>
            <w:tcW w:w="2694" w:type="dxa"/>
            <w:tcBorders>
              <w:top w:val="single" w:sz="4" w:space="0" w:color="000000"/>
              <w:left w:val="single" w:sz="4" w:space="0" w:color="000000"/>
              <w:bottom w:val="single" w:sz="4" w:space="0" w:color="000000"/>
              <w:right w:val="single" w:sz="4" w:space="0" w:color="000000"/>
            </w:tcBorders>
            <w:noWrap/>
            <w:vAlign w:val="center"/>
          </w:tcPr>
          <w:p w:rsidR="007C008B" w:rsidRPr="003D41DE" w:rsidRDefault="007C008B" w:rsidP="00ED5FDF">
            <w:pPr>
              <w:spacing w:line="574" w:lineRule="exact"/>
              <w:jc w:val="center"/>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91.20</w:t>
            </w:r>
          </w:p>
        </w:tc>
      </w:tr>
    </w:tbl>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（一）过程</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1、资金到位率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100%。完成情况说明：高新区财政局预算指标通知单，资金到位50000万元；2022年江苏省政府专项债券（八至十三期）发行结果公告、2022年江苏省政府专项债券（八至十三期）信息披露文件，专项债发行50000万元。资金到位率=（实际到位资金/债券发行额度）×100%=50000/50000*100%=100%。</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2、资金执行率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100%。完成情况说明：苏州高新区财政局预算指标（拨款）通知单、财政直接支付凭证、支出明细账。资金执行率=（实际支出资金/实际到位资金）×100%=50000/50000*100%=100%，资金执行率100%。</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3、资金使用合</w:t>
      </w:r>
      <w:proofErr w:type="gramStart"/>
      <w:r w:rsidRPr="003D41DE">
        <w:rPr>
          <w:rFonts w:ascii="仿宋_GB2312" w:eastAsia="仿宋_GB2312" w:hint="eastAsia"/>
          <w:spacing w:val="-4"/>
          <w:sz w:val="30"/>
          <w:szCs w:val="30"/>
          <w:lang w:eastAsia="zh-CN"/>
        </w:rPr>
        <w:t>规</w:t>
      </w:r>
      <w:proofErr w:type="gramEnd"/>
      <w:r w:rsidRPr="003D41DE">
        <w:rPr>
          <w:rFonts w:ascii="仿宋_GB2312" w:eastAsia="仿宋_GB2312" w:hint="eastAsia"/>
          <w:spacing w:val="-4"/>
          <w:sz w:val="30"/>
          <w:szCs w:val="30"/>
          <w:lang w:eastAsia="zh-CN"/>
        </w:rPr>
        <w:t xml:space="preserve">性   </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指标目标值合</w:t>
      </w:r>
      <w:proofErr w:type="gramStart"/>
      <w:r w:rsidRPr="003D41DE">
        <w:rPr>
          <w:rFonts w:ascii="仿宋_GB2312" w:eastAsia="仿宋_GB2312" w:hint="eastAsia"/>
          <w:spacing w:val="-4"/>
          <w:sz w:val="30"/>
          <w:szCs w:val="30"/>
          <w:lang w:eastAsia="zh-CN"/>
        </w:rPr>
        <w:t>规</w:t>
      </w:r>
      <w:proofErr w:type="gramEnd"/>
      <w:r w:rsidRPr="003D41DE">
        <w:rPr>
          <w:rFonts w:ascii="仿宋_GB2312" w:eastAsia="仿宋_GB2312" w:hint="eastAsia"/>
          <w:spacing w:val="-4"/>
          <w:sz w:val="30"/>
          <w:szCs w:val="30"/>
          <w:lang w:eastAsia="zh-CN"/>
        </w:rPr>
        <w:t>，实际完成值合</w:t>
      </w:r>
      <w:proofErr w:type="gramStart"/>
      <w:r w:rsidRPr="003D41DE">
        <w:rPr>
          <w:rFonts w:ascii="仿宋_GB2312" w:eastAsia="仿宋_GB2312" w:hint="eastAsia"/>
          <w:spacing w:val="-4"/>
          <w:sz w:val="30"/>
          <w:szCs w:val="30"/>
          <w:lang w:eastAsia="zh-CN"/>
        </w:rPr>
        <w:t>规</w:t>
      </w:r>
      <w:proofErr w:type="gramEnd"/>
      <w:r w:rsidRPr="003D41DE">
        <w:rPr>
          <w:rFonts w:ascii="仿宋_GB2312" w:eastAsia="仿宋_GB2312" w:hint="eastAsia"/>
          <w:spacing w:val="-4"/>
          <w:sz w:val="30"/>
          <w:szCs w:val="30"/>
          <w:lang w:eastAsia="zh-CN"/>
        </w:rPr>
        <w:t>。完成情况说明：支出凭证、在建工程成本明细账、对账单。资金按规定用途使用，资金支出合理合</w:t>
      </w:r>
      <w:proofErr w:type="gramStart"/>
      <w:r w:rsidRPr="003D41DE">
        <w:rPr>
          <w:rFonts w:ascii="仿宋_GB2312" w:eastAsia="仿宋_GB2312" w:hint="eastAsia"/>
          <w:spacing w:val="-4"/>
          <w:sz w:val="30"/>
          <w:szCs w:val="30"/>
          <w:lang w:eastAsia="zh-CN"/>
        </w:rPr>
        <w:t>规</w:t>
      </w:r>
      <w:proofErr w:type="gramEnd"/>
      <w:r w:rsidRPr="003D41DE">
        <w:rPr>
          <w:rFonts w:ascii="仿宋_GB2312" w:eastAsia="仿宋_GB2312" w:hint="eastAsia"/>
          <w:spacing w:val="-4"/>
          <w:sz w:val="30"/>
          <w:szCs w:val="30"/>
          <w:lang w:eastAsia="zh-CN"/>
        </w:rPr>
        <w:t xml:space="preserve">。 </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4、管理制度健全性</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健全，实际完成值健全。完成情况说明：《关于印发苏州高新区、虎丘区政府性债务管理暂行办法的通知》（苏高新管〔2017〕85号）、《管委会（区政府）关于印发苏州高新区镇级债务分类管理实施方案的通知》（苏高新管〔2019〕143号）、《苏州高新区政府专项债券券项目资金绩效管理暂行办法》（苏高新财〔2022〕72号）、《关于明确苏州高新区公开招标数额标准以下的工程政府采购有关问题的通知》（</w:t>
      </w:r>
      <w:proofErr w:type="gramStart"/>
      <w:r w:rsidRPr="003D41DE">
        <w:rPr>
          <w:rFonts w:ascii="仿宋_GB2312" w:eastAsia="仿宋_GB2312" w:hint="eastAsia"/>
          <w:spacing w:val="-4"/>
          <w:sz w:val="30"/>
          <w:szCs w:val="30"/>
          <w:lang w:eastAsia="zh-CN"/>
        </w:rPr>
        <w:t>苏财购〔2017〕</w:t>
      </w:r>
      <w:proofErr w:type="gramEnd"/>
      <w:r w:rsidRPr="003D41DE">
        <w:rPr>
          <w:rFonts w:ascii="仿宋_GB2312" w:eastAsia="仿宋_GB2312" w:hint="eastAsia"/>
          <w:spacing w:val="-4"/>
          <w:sz w:val="30"/>
          <w:szCs w:val="30"/>
          <w:lang w:eastAsia="zh-CN"/>
        </w:rPr>
        <w:t>84号）、《苏高新教育产业发展（苏州）有限公司管理制度汇编》等。项目有相应的业务管理制度，业务管理制度健全，合法、合</w:t>
      </w:r>
      <w:proofErr w:type="gramStart"/>
      <w:r w:rsidRPr="003D41DE">
        <w:rPr>
          <w:rFonts w:ascii="仿宋_GB2312" w:eastAsia="仿宋_GB2312" w:hint="eastAsia"/>
          <w:spacing w:val="-4"/>
          <w:sz w:val="30"/>
          <w:szCs w:val="30"/>
          <w:lang w:eastAsia="zh-CN"/>
        </w:rPr>
        <w:t>规</w:t>
      </w:r>
      <w:proofErr w:type="gramEnd"/>
      <w:r w:rsidRPr="003D41DE">
        <w:rPr>
          <w:rFonts w:ascii="仿宋_GB2312" w:eastAsia="仿宋_GB2312" w:hint="eastAsia"/>
          <w:spacing w:val="-4"/>
          <w:sz w:val="30"/>
          <w:szCs w:val="30"/>
          <w:lang w:eastAsia="zh-CN"/>
        </w:rPr>
        <w:t>、完整。</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5、制度执行有效性</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指标目标值有效，实际完成值较有效。完成情况说明：</w:t>
      </w:r>
      <w:r w:rsidR="00913246" w:rsidRPr="003D41DE">
        <w:rPr>
          <w:rFonts w:ascii="仿宋_GB2312" w:eastAsia="仿宋_GB2312" w:hint="eastAsia"/>
          <w:spacing w:val="-4"/>
          <w:sz w:val="30"/>
          <w:szCs w:val="30"/>
          <w:lang w:eastAsia="zh-CN"/>
        </w:rPr>
        <w:t xml:space="preserve"> </w:t>
      </w:r>
      <w:r w:rsidRPr="003D41DE">
        <w:rPr>
          <w:rFonts w:ascii="仿宋_GB2312" w:eastAsia="仿宋_GB2312" w:hint="eastAsia"/>
          <w:spacing w:val="-4"/>
          <w:sz w:val="30"/>
          <w:szCs w:val="30"/>
          <w:lang w:eastAsia="zh-CN"/>
        </w:rPr>
        <w:t>2022年江苏省政府专项债券（八至十三期）发行结果公告及信息披露文件；财政拨款基建工程进度及用款明细表。截止2022年12月底，根据住建局项目成本明细账，存在1.1亿元未达账项，与实际支付进度存在差异。酌情扣除20%权重分，该指标得分为：5*80%=4分。</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 xml:space="preserve"> （二）产出</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1、取得基本建设项目立项批复</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指标目标值取得，实际完成值取得。完成情况说明：《关于苏州高新区（虎丘区）城市建设管理服务中心苏州太湖科学城南大教育园区项目可行性研究报告的批复》（</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项〔2022〕17号）、《关于苏州高新区（虎丘区）城市建设管理服务中心南京大学苏州校区（西区）项目建议书的批复》（</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项〔2020〕266号）、《关于同意苏州高新区（虎丘区）城市建设管理服务中心南京大学苏州校区（西区）项目建议书变更的通知》（</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项〔2021〕121号）、《关于同意苏州高新区（虎丘区）城市建设管理服务中心南京大学苏州校区（西区）项目建议书变更的通知》（</w:t>
      </w:r>
      <w:proofErr w:type="gramStart"/>
      <w:r w:rsidRPr="003D41DE">
        <w:rPr>
          <w:rFonts w:ascii="仿宋_GB2312" w:eastAsia="仿宋_GB2312" w:hint="eastAsia"/>
          <w:spacing w:val="-4"/>
          <w:sz w:val="30"/>
          <w:szCs w:val="30"/>
          <w:lang w:eastAsia="zh-CN"/>
        </w:rPr>
        <w:t>苏虎行审投</w:t>
      </w:r>
      <w:proofErr w:type="gramEnd"/>
      <w:r w:rsidRPr="003D41DE">
        <w:rPr>
          <w:rFonts w:ascii="仿宋_GB2312" w:eastAsia="仿宋_GB2312" w:hint="eastAsia"/>
          <w:spacing w:val="-4"/>
          <w:sz w:val="30"/>
          <w:szCs w:val="30"/>
          <w:lang w:eastAsia="zh-CN"/>
        </w:rPr>
        <w:t>项〔2021〕194号）。项目已取得立项批复。</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2、取得工程规划许可</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指标目标值取得，实际完成值取得。完成情况说明：</w:t>
      </w:r>
      <w:r w:rsidR="00913246" w:rsidRPr="003D41DE">
        <w:rPr>
          <w:rFonts w:ascii="仿宋_GB2312" w:eastAsia="仿宋_GB2312" w:hint="eastAsia"/>
          <w:spacing w:val="-4"/>
          <w:sz w:val="30"/>
          <w:szCs w:val="30"/>
          <w:lang w:eastAsia="zh-CN"/>
        </w:rPr>
        <w:t xml:space="preserve"> </w:t>
      </w:r>
      <w:r w:rsidRPr="003D41DE">
        <w:rPr>
          <w:rFonts w:ascii="仿宋_GB2312" w:eastAsia="仿宋_GB2312" w:hint="eastAsia"/>
          <w:spacing w:val="-4"/>
          <w:sz w:val="30"/>
          <w:szCs w:val="30"/>
          <w:lang w:eastAsia="zh-CN"/>
        </w:rPr>
        <w:t>110千伏变电站工程：《建设工程规划许可证》（建字第320505202200022号）；学生生活综合体：《建设工程规划许可证》（建字第320505202200057号）。本项目已取得工程规划许可证，但原定开工的文体中心因年末疫情影响，开工手续未办理完毕。按项目整体查看，已开工项目取得工程规划许可。</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3、完成环评手续</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完成，实际完成值完成。完成情况说明：《关于对南京大学苏州校区（西区）建设项目环境影响报告表的批复》（苏环建〔2021〕05第0110号）。根据（苏环建〔2021〕05第0110号）文件，本项目已完成环境评价备案手续并取得批复。</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4、取得施工许可</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指标目标值取得，实际完成值取得。完成情况说明：《学生生活综合体施工许可证》（施工许可编号 320505202206240501）、电力工程质量监督</w:t>
      </w:r>
      <w:proofErr w:type="gramStart"/>
      <w:r w:rsidRPr="003D41DE">
        <w:rPr>
          <w:rFonts w:ascii="仿宋_GB2312" w:eastAsia="仿宋_GB2312" w:hint="eastAsia"/>
          <w:spacing w:val="-4"/>
          <w:sz w:val="30"/>
          <w:szCs w:val="30"/>
          <w:lang w:eastAsia="zh-CN"/>
        </w:rPr>
        <w:t>投运备察证明书</w:t>
      </w:r>
      <w:proofErr w:type="gramEnd"/>
      <w:r w:rsidRPr="003D41DE">
        <w:rPr>
          <w:rFonts w:ascii="仿宋_GB2312" w:eastAsia="仿宋_GB2312" w:hint="eastAsia"/>
          <w:spacing w:val="-4"/>
          <w:sz w:val="30"/>
          <w:szCs w:val="30"/>
          <w:lang w:eastAsia="zh-CN"/>
        </w:rPr>
        <w:t>（</w:t>
      </w:r>
      <w:proofErr w:type="gramStart"/>
      <w:r w:rsidRPr="003D41DE">
        <w:rPr>
          <w:rFonts w:ascii="仿宋_GB2312" w:eastAsia="仿宋_GB2312" w:hint="eastAsia"/>
          <w:spacing w:val="-4"/>
          <w:sz w:val="30"/>
          <w:szCs w:val="30"/>
          <w:lang w:eastAsia="zh-CN"/>
        </w:rPr>
        <w:t>质监备字</w:t>
      </w:r>
      <w:proofErr w:type="gramEnd"/>
      <w:r w:rsidRPr="003D41DE">
        <w:rPr>
          <w:rFonts w:ascii="仿宋_GB2312" w:eastAsia="仿宋_GB2312" w:hint="eastAsia"/>
          <w:spacing w:val="-4"/>
          <w:sz w:val="30"/>
          <w:szCs w:val="30"/>
          <w:lang w:eastAsia="zh-CN"/>
        </w:rPr>
        <w:t>〔2023〕001号），学生生活综合体取得施工许可，110千伏变电站工程根据《关于明确&lt;江苏省电力条例&gt;实施后输变电工程建设相关审批业务办理的通知》（</w:t>
      </w:r>
      <w:proofErr w:type="gramStart"/>
      <w:r w:rsidRPr="003D41DE">
        <w:rPr>
          <w:rFonts w:ascii="仿宋_GB2312" w:eastAsia="仿宋_GB2312" w:hint="eastAsia"/>
          <w:spacing w:val="-4"/>
          <w:sz w:val="30"/>
          <w:szCs w:val="30"/>
          <w:lang w:eastAsia="zh-CN"/>
        </w:rPr>
        <w:t>苏协调</w:t>
      </w:r>
      <w:proofErr w:type="gramEnd"/>
      <w:r w:rsidRPr="003D41DE">
        <w:rPr>
          <w:rFonts w:ascii="仿宋_GB2312" w:eastAsia="仿宋_GB2312" w:hint="eastAsia"/>
          <w:spacing w:val="-4"/>
          <w:sz w:val="30"/>
          <w:szCs w:val="30"/>
          <w:lang w:eastAsia="zh-CN"/>
        </w:rPr>
        <w:t>办〔2020〕18号）文件，不再办理施工许可证报建手续。2022年文体中心因年末疫情影响开工手续未办理完毕。按项目整体查看，已开工项目取得施工许可证。</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5、单体项目开工数量</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指标目标值3个，实际完成值2个。完成情况说明：我《110kV变电站工程开工报审表》、《110千伏变电站工程开</w:t>
      </w:r>
      <w:proofErr w:type="gramStart"/>
      <w:r w:rsidRPr="003D41DE">
        <w:rPr>
          <w:rFonts w:ascii="仿宋_GB2312" w:eastAsia="仿宋_GB2312" w:hint="eastAsia"/>
          <w:spacing w:val="-4"/>
          <w:sz w:val="30"/>
          <w:szCs w:val="30"/>
          <w:lang w:eastAsia="zh-CN"/>
        </w:rPr>
        <w:t>工令</w:t>
      </w:r>
      <w:proofErr w:type="gramEnd"/>
      <w:r w:rsidRPr="003D41DE">
        <w:rPr>
          <w:rFonts w:ascii="仿宋_GB2312" w:eastAsia="仿宋_GB2312" w:hint="eastAsia"/>
          <w:spacing w:val="-4"/>
          <w:sz w:val="30"/>
          <w:szCs w:val="30"/>
          <w:lang w:eastAsia="zh-CN"/>
        </w:rPr>
        <w:t>》、《学生生活综合体工程开</w:t>
      </w:r>
      <w:proofErr w:type="gramStart"/>
      <w:r w:rsidRPr="003D41DE">
        <w:rPr>
          <w:rFonts w:ascii="仿宋_GB2312" w:eastAsia="仿宋_GB2312" w:hint="eastAsia"/>
          <w:spacing w:val="-4"/>
          <w:sz w:val="30"/>
          <w:szCs w:val="30"/>
          <w:lang w:eastAsia="zh-CN"/>
        </w:rPr>
        <w:t>工令</w:t>
      </w:r>
      <w:proofErr w:type="gramEnd"/>
      <w:r w:rsidRPr="003D41DE">
        <w:rPr>
          <w:rFonts w:ascii="仿宋_GB2312" w:eastAsia="仿宋_GB2312" w:hint="eastAsia"/>
          <w:spacing w:val="-4"/>
          <w:sz w:val="30"/>
          <w:szCs w:val="30"/>
          <w:lang w:eastAsia="zh-CN"/>
        </w:rPr>
        <w:t>》。2022年文体中心因年末疫情影响未开工，完成率为2/3=66.67%,该指标不得分。</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6、110kV变电所工程验收合格</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指标目标值100%，实际完成值100%。完成情况说明：《电力工程质量监督投运备察证明书》（</w:t>
      </w:r>
      <w:proofErr w:type="gramStart"/>
      <w:r w:rsidRPr="003D41DE">
        <w:rPr>
          <w:rFonts w:ascii="仿宋_GB2312" w:eastAsia="仿宋_GB2312" w:hint="eastAsia"/>
          <w:spacing w:val="-4"/>
          <w:sz w:val="30"/>
          <w:szCs w:val="30"/>
          <w:lang w:eastAsia="zh-CN"/>
        </w:rPr>
        <w:t>质监备字</w:t>
      </w:r>
      <w:proofErr w:type="gramEnd"/>
      <w:r w:rsidRPr="003D41DE">
        <w:rPr>
          <w:rFonts w:ascii="仿宋_GB2312" w:eastAsia="仿宋_GB2312" w:hint="eastAsia"/>
          <w:spacing w:val="-4"/>
          <w:sz w:val="30"/>
          <w:szCs w:val="30"/>
          <w:lang w:eastAsia="zh-CN"/>
        </w:rPr>
        <w:t>〔2023〕001号）、南京大学苏州校区110kV变电站及进线工程竣工验收报告。本项目于2022年9月提交验收申请，2023年1月通过竣工备案，验收合格。</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7、环</w:t>
      </w:r>
      <w:proofErr w:type="gramStart"/>
      <w:r w:rsidRPr="003D41DE">
        <w:rPr>
          <w:rFonts w:ascii="仿宋_GB2312" w:eastAsia="仿宋_GB2312" w:hint="eastAsia"/>
          <w:spacing w:val="-4"/>
          <w:sz w:val="30"/>
          <w:szCs w:val="30"/>
          <w:lang w:eastAsia="zh-CN"/>
        </w:rPr>
        <w:t>评项目</w:t>
      </w:r>
      <w:proofErr w:type="gramEnd"/>
      <w:r w:rsidRPr="003D41DE">
        <w:rPr>
          <w:rFonts w:ascii="仿宋_GB2312" w:eastAsia="仿宋_GB2312" w:hint="eastAsia"/>
          <w:spacing w:val="-4"/>
          <w:sz w:val="30"/>
          <w:szCs w:val="30"/>
          <w:lang w:eastAsia="zh-CN"/>
        </w:rPr>
        <w:t>达标率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指标目标值达标，实际完成值未达标。完成情况说明：项目单位未提供相关资料。项目整体结束，才能进行</w:t>
      </w:r>
      <w:proofErr w:type="gramStart"/>
      <w:r w:rsidRPr="003D41DE">
        <w:rPr>
          <w:rFonts w:ascii="仿宋_GB2312" w:eastAsia="仿宋_GB2312" w:hint="eastAsia"/>
          <w:spacing w:val="-4"/>
          <w:sz w:val="30"/>
          <w:szCs w:val="30"/>
          <w:lang w:eastAsia="zh-CN"/>
        </w:rPr>
        <w:t>项目环</w:t>
      </w:r>
      <w:proofErr w:type="gramEnd"/>
      <w:r w:rsidRPr="003D41DE">
        <w:rPr>
          <w:rFonts w:ascii="仿宋_GB2312" w:eastAsia="仿宋_GB2312" w:hint="eastAsia"/>
          <w:spacing w:val="-4"/>
          <w:sz w:val="30"/>
          <w:szCs w:val="30"/>
          <w:lang w:eastAsia="zh-CN"/>
        </w:rPr>
        <w:t>评验收，本项目未达环评验收条件。该指标设计当年无法评价，酌情扣除20%权重分，该指标得分为5*80%=4分。</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8、开工及时率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指标目标值及时，实际完成值不及时。完成情况说明：《110千伏变电站工程开</w:t>
      </w:r>
      <w:proofErr w:type="gramStart"/>
      <w:r w:rsidRPr="003D41DE">
        <w:rPr>
          <w:rFonts w:ascii="仿宋_GB2312" w:eastAsia="仿宋_GB2312" w:hint="eastAsia"/>
          <w:spacing w:val="-4"/>
          <w:sz w:val="30"/>
          <w:szCs w:val="30"/>
          <w:lang w:eastAsia="zh-CN"/>
        </w:rPr>
        <w:t>工令</w:t>
      </w:r>
      <w:proofErr w:type="gramEnd"/>
      <w:r w:rsidRPr="003D41DE">
        <w:rPr>
          <w:rFonts w:ascii="仿宋_GB2312" w:eastAsia="仿宋_GB2312" w:hint="eastAsia"/>
          <w:spacing w:val="-4"/>
          <w:sz w:val="30"/>
          <w:szCs w:val="30"/>
          <w:lang w:eastAsia="zh-CN"/>
        </w:rPr>
        <w:t>》、《学生生活综合体工程开</w:t>
      </w:r>
      <w:proofErr w:type="gramStart"/>
      <w:r w:rsidRPr="003D41DE">
        <w:rPr>
          <w:rFonts w:ascii="仿宋_GB2312" w:eastAsia="仿宋_GB2312" w:hint="eastAsia"/>
          <w:spacing w:val="-4"/>
          <w:sz w:val="30"/>
          <w:szCs w:val="30"/>
          <w:lang w:eastAsia="zh-CN"/>
        </w:rPr>
        <w:t>工令</w:t>
      </w:r>
      <w:proofErr w:type="gramEnd"/>
      <w:r w:rsidRPr="003D41DE">
        <w:rPr>
          <w:rFonts w:ascii="仿宋_GB2312" w:eastAsia="仿宋_GB2312" w:hint="eastAsia"/>
          <w:spacing w:val="-4"/>
          <w:sz w:val="30"/>
          <w:szCs w:val="30"/>
          <w:lang w:eastAsia="zh-CN"/>
        </w:rPr>
        <w:t>》。根据绩效目标申报表，预计开工时间为2022年3月，学生生活综合体工程开工时间为2022年6月，2022年文体中心因年末疫情影响未及时开工，酌情给予1分。</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9、成本控制率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80%。完成情况说明：项目立项批复、财政拨款基建工程进度及用款明细表、项目成本明细账。经项目建议书批复项目总投资70亿元，已签订合同的预算造价13.7229亿元（财政拨款基建工程进度及用款明细表）。截止2022年底已支付进度款5亿元。但项目刚开建，成本控制率指标不具备评价条件，酌情扣除20%权重分，该指标得分为4*80%=3.2分。</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（三）效益</w:t>
      </w:r>
    </w:p>
    <w:p w:rsidR="0029522B" w:rsidRPr="003D41DE" w:rsidRDefault="00397809"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w:t>
      </w:r>
      <w:r w:rsidR="0029522B" w:rsidRPr="003D41DE">
        <w:rPr>
          <w:rFonts w:ascii="仿宋_GB2312" w:eastAsia="仿宋_GB2312" w:hint="eastAsia"/>
          <w:spacing w:val="-4"/>
          <w:sz w:val="30"/>
          <w:szCs w:val="30"/>
          <w:lang w:eastAsia="zh-CN"/>
        </w:rPr>
        <w:t>当期利息支付率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100%。完成情况说明：财政直接支付凭证、2022年江苏省政府专项债券（八至十三期）发行结果公告、财务对账记录、《关于分配2022年第六批公开发行江苏省政府专项债券资金有关事项的通知》（苏高新财〔2022〕56号）及发行公示。本项目应付利息为：50000万元*利率3.18%*6/12=795万元。利息支付率100%。</w:t>
      </w:r>
    </w:p>
    <w:p w:rsidR="0029522B" w:rsidRPr="003D41DE" w:rsidRDefault="00397809"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w:t>
      </w:r>
      <w:r w:rsidR="0029522B" w:rsidRPr="003D41DE">
        <w:rPr>
          <w:rFonts w:ascii="仿宋_GB2312" w:eastAsia="仿宋_GB2312" w:hint="eastAsia"/>
          <w:spacing w:val="-4"/>
          <w:sz w:val="30"/>
          <w:szCs w:val="30"/>
          <w:lang w:eastAsia="zh-CN"/>
        </w:rPr>
        <w:t>农民工工资专户开户率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指标目标值100%，实际完成值100%。完成情况说明：</w:t>
      </w:r>
      <w:r w:rsidR="00913246">
        <w:rPr>
          <w:rFonts w:ascii="仿宋_GB2312" w:eastAsia="仿宋_GB2312" w:hint="eastAsia"/>
          <w:spacing w:val="-4"/>
          <w:sz w:val="30"/>
          <w:szCs w:val="30"/>
          <w:lang w:eastAsia="zh-CN"/>
        </w:rPr>
        <w:t>银行开户证明。</w:t>
      </w:r>
      <w:r w:rsidRPr="003D41DE">
        <w:rPr>
          <w:rFonts w:ascii="仿宋_GB2312" w:eastAsia="仿宋_GB2312" w:hint="eastAsia"/>
          <w:spacing w:val="-4"/>
          <w:sz w:val="30"/>
          <w:szCs w:val="30"/>
          <w:lang w:eastAsia="zh-CN"/>
        </w:rPr>
        <w:t>本项目已开通农民工工资专用账户。</w:t>
      </w:r>
    </w:p>
    <w:p w:rsidR="0029522B" w:rsidRPr="003D41DE" w:rsidRDefault="00397809"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w:t>
      </w:r>
      <w:r w:rsidR="0029522B" w:rsidRPr="003D41DE">
        <w:rPr>
          <w:rFonts w:ascii="仿宋_GB2312" w:eastAsia="仿宋_GB2312" w:hint="eastAsia"/>
          <w:spacing w:val="-4"/>
          <w:sz w:val="30"/>
          <w:szCs w:val="30"/>
          <w:lang w:eastAsia="zh-CN"/>
        </w:rPr>
        <w:t>项目建设及运行中垃圾及污水处理率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指标目标值100%，实际完成值100%。完成情况说明：《化粪池清理合同》、《企事业单位内部雨污水管道接通市政雨污水管网许可证》、《生活垃圾清运合同》及南京大学苏州校区 （西区）学生生活综合体垃圾管理台账。垃圾及污水处理率100%。</w:t>
      </w:r>
    </w:p>
    <w:p w:rsidR="0029522B" w:rsidRPr="003D41DE" w:rsidRDefault="00397809"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4、</w:t>
      </w:r>
      <w:r w:rsidR="0029522B" w:rsidRPr="003D41DE">
        <w:rPr>
          <w:rFonts w:ascii="仿宋_GB2312" w:eastAsia="仿宋_GB2312" w:hint="eastAsia"/>
          <w:spacing w:val="-4"/>
          <w:sz w:val="30"/>
          <w:szCs w:val="30"/>
          <w:lang w:eastAsia="zh-CN"/>
        </w:rPr>
        <w:t>绿色建筑设计等级</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指标目标值三星，实际完成值三星。完成情况说明：江苏省公共建筑施工图绿色设计审图图纸。绿色建筑设计等级为三星。</w:t>
      </w:r>
    </w:p>
    <w:p w:rsidR="0029522B" w:rsidRPr="003D41DE" w:rsidRDefault="00397809"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5、</w:t>
      </w:r>
      <w:r w:rsidR="0029522B" w:rsidRPr="003D41DE">
        <w:rPr>
          <w:rFonts w:ascii="仿宋_GB2312" w:eastAsia="仿宋_GB2312" w:hint="eastAsia"/>
          <w:spacing w:val="-4"/>
          <w:sz w:val="30"/>
          <w:szCs w:val="30"/>
          <w:lang w:eastAsia="zh-CN"/>
        </w:rPr>
        <w:t>重大安全事故发生率</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指标目标值0%，实际完成值0%。完成情况说明：本项目重大安全事故发生率为0%。</w:t>
      </w:r>
    </w:p>
    <w:p w:rsidR="0029522B" w:rsidRPr="003D41DE" w:rsidRDefault="00397809"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6、</w:t>
      </w:r>
      <w:r w:rsidR="0029522B" w:rsidRPr="003D41DE">
        <w:rPr>
          <w:rFonts w:ascii="仿宋_GB2312" w:eastAsia="仿宋_GB2312" w:hint="eastAsia"/>
          <w:spacing w:val="-4"/>
          <w:sz w:val="30"/>
          <w:szCs w:val="30"/>
          <w:lang w:eastAsia="zh-CN"/>
        </w:rPr>
        <w:t>开展安全生产培训（次）</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指标目标值2次，实际完成值2次。完成情况说明：学习记录表、培训照片。2022年度共开展2次安全生产培训，分别为《安全生产管理实施细则》培训、高温防暑培训。</w:t>
      </w:r>
    </w:p>
    <w:p w:rsidR="0029522B" w:rsidRPr="003D41DE" w:rsidRDefault="0029522B" w:rsidP="0029522B">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（四）服务对象满意度</w:t>
      </w:r>
    </w:p>
    <w:p w:rsidR="004A148B" w:rsidRPr="00C93097" w:rsidRDefault="0029522B" w:rsidP="00C93097">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指标目标值≥90%，实际完成值100%。完成情况说明：对建设单位满意度调查表，分别调查了四川西南工程项目管理咨询有限责任公司、苏高新教育产业发展(苏州)有限公司、中</w:t>
      </w:r>
      <w:proofErr w:type="gramStart"/>
      <w:r w:rsidRPr="003D41DE">
        <w:rPr>
          <w:rFonts w:ascii="仿宋_GB2312" w:eastAsia="仿宋_GB2312" w:hint="eastAsia"/>
          <w:spacing w:val="-4"/>
          <w:sz w:val="30"/>
          <w:szCs w:val="30"/>
          <w:lang w:eastAsia="zh-CN"/>
        </w:rPr>
        <w:t>衡设计</w:t>
      </w:r>
      <w:proofErr w:type="gramEnd"/>
      <w:r w:rsidRPr="003D41DE">
        <w:rPr>
          <w:rFonts w:ascii="仿宋_GB2312" w:eastAsia="仿宋_GB2312" w:hint="eastAsia"/>
          <w:spacing w:val="-4"/>
          <w:sz w:val="30"/>
          <w:szCs w:val="30"/>
          <w:lang w:eastAsia="zh-CN"/>
        </w:rPr>
        <w:t>集团股份有限公司、中建国际城市建设有限公司四家参与建设单位。满意度为100%。</w:t>
      </w:r>
    </w:p>
    <w:p w:rsidR="00996C5B" w:rsidRPr="00C93097" w:rsidRDefault="00C93097" w:rsidP="00C93097">
      <w:pPr>
        <w:spacing w:line="574" w:lineRule="exact"/>
        <w:ind w:firstLineChars="200" w:firstLine="594"/>
        <w:jc w:val="both"/>
        <w:rPr>
          <w:rFonts w:ascii="仿宋_GB2312" w:eastAsia="仿宋_GB2312" w:hint="eastAsia"/>
          <w:b/>
          <w:spacing w:val="-4"/>
          <w:sz w:val="30"/>
          <w:szCs w:val="30"/>
          <w:lang w:eastAsia="zh-CN"/>
        </w:rPr>
      </w:pPr>
      <w:r>
        <w:rPr>
          <w:rFonts w:ascii="仿宋_GB2312" w:eastAsia="仿宋_GB2312" w:hint="eastAsia"/>
          <w:b/>
          <w:spacing w:val="-4"/>
          <w:sz w:val="30"/>
          <w:szCs w:val="30"/>
          <w:lang w:eastAsia="zh-CN"/>
        </w:rPr>
        <w:t>三</w:t>
      </w:r>
      <w:r w:rsidR="00B160AB" w:rsidRPr="00C93097">
        <w:rPr>
          <w:rFonts w:ascii="仿宋_GB2312" w:eastAsia="仿宋_GB2312" w:hint="eastAsia"/>
          <w:b/>
          <w:spacing w:val="-4"/>
          <w:sz w:val="30"/>
          <w:szCs w:val="30"/>
          <w:lang w:eastAsia="zh-CN"/>
        </w:rPr>
        <w:t>、存在问题</w:t>
      </w:r>
    </w:p>
    <w:p w:rsidR="003D41DE" w:rsidRPr="003D41DE" w:rsidRDefault="003D41DE" w:rsidP="003D41DE">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（1）因疫情影响项目开工不及时，资金使用进度与开工进度匹配性有待提升。2022年原定预计开工数量3个工程，实际开工2个工程。</w:t>
      </w:r>
    </w:p>
    <w:p w:rsidR="003D41DE" w:rsidRPr="003D41DE" w:rsidRDefault="003D41DE" w:rsidP="003D41DE">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（2）个别指标设置不合理。如“成本控制率”指标目标值设置较为笼统，实际完成情况不易界定。</w:t>
      </w:r>
    </w:p>
    <w:p w:rsidR="003D41DE" w:rsidRPr="003D41DE" w:rsidRDefault="003D41DE" w:rsidP="003D41DE">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3）个别指标目标值未完成。如产出指标“单体项目开工数量”，2022年目标值为3个，实际开工项目数为2个；如产出指标“项目环评达标率”，指标目标值达标，实际尚未进行环评验收；如产出指标“开工及时率”，目标值为及时，实际2个单体项目的开工均不及时。</w:t>
      </w:r>
    </w:p>
    <w:p w:rsidR="00996C5B" w:rsidRPr="00C93097" w:rsidRDefault="00C93097" w:rsidP="00C93097">
      <w:pPr>
        <w:spacing w:line="574" w:lineRule="exact"/>
        <w:ind w:firstLineChars="200" w:firstLine="594"/>
        <w:jc w:val="both"/>
        <w:rPr>
          <w:rFonts w:ascii="仿宋_GB2312" w:eastAsia="仿宋_GB2312" w:hint="eastAsia"/>
          <w:b/>
          <w:spacing w:val="-4"/>
          <w:sz w:val="30"/>
          <w:szCs w:val="30"/>
          <w:lang w:eastAsia="zh-CN"/>
        </w:rPr>
      </w:pPr>
      <w:r>
        <w:rPr>
          <w:rFonts w:ascii="仿宋_GB2312" w:eastAsia="仿宋_GB2312" w:hint="eastAsia"/>
          <w:b/>
          <w:spacing w:val="-4"/>
          <w:sz w:val="30"/>
          <w:szCs w:val="30"/>
          <w:lang w:eastAsia="zh-CN"/>
        </w:rPr>
        <w:t>四</w:t>
      </w:r>
      <w:r w:rsidR="00B160AB" w:rsidRPr="00C93097">
        <w:rPr>
          <w:rFonts w:ascii="仿宋_GB2312" w:eastAsia="仿宋_GB2312" w:hint="eastAsia"/>
          <w:b/>
          <w:spacing w:val="-4"/>
          <w:sz w:val="30"/>
          <w:szCs w:val="30"/>
          <w:lang w:eastAsia="zh-CN"/>
        </w:rPr>
        <w:t xml:space="preserve">、有关建议 </w:t>
      </w:r>
    </w:p>
    <w:p w:rsidR="003D41DE" w:rsidRPr="003D41DE" w:rsidRDefault="003D41DE" w:rsidP="003D41DE">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（1）科学制定资金使用计划及工程进度，保障项目及时开工。</w:t>
      </w:r>
    </w:p>
    <w:p w:rsidR="003D41DE" w:rsidRPr="003D41DE" w:rsidRDefault="003D41DE" w:rsidP="003D41DE">
      <w:pPr>
        <w:spacing w:line="574" w:lineRule="exact"/>
        <w:ind w:firstLineChars="200" w:firstLine="592"/>
        <w:jc w:val="both"/>
        <w:rPr>
          <w:rFonts w:ascii="仿宋_GB2312" w:eastAsia="仿宋_GB2312" w:hint="eastAsia"/>
          <w:spacing w:val="-4"/>
          <w:sz w:val="30"/>
          <w:szCs w:val="30"/>
          <w:lang w:eastAsia="zh-CN"/>
        </w:rPr>
      </w:pPr>
      <w:r w:rsidRPr="003D41DE">
        <w:rPr>
          <w:rFonts w:ascii="仿宋_GB2312" w:eastAsia="仿宋_GB2312" w:hint="eastAsia"/>
          <w:spacing w:val="-4"/>
          <w:sz w:val="30"/>
          <w:szCs w:val="30"/>
          <w:lang w:eastAsia="zh-CN"/>
        </w:rPr>
        <w:t>（2）认真做好调研工作，科学地规划和制定项目绩效目标值，使年度绩效目标值与实际完成情况相符，确保目标值</w:t>
      </w:r>
      <w:proofErr w:type="gramStart"/>
      <w:r w:rsidRPr="003D41DE">
        <w:rPr>
          <w:rFonts w:ascii="仿宋_GB2312" w:eastAsia="仿宋_GB2312" w:hint="eastAsia"/>
          <w:spacing w:val="-4"/>
          <w:sz w:val="30"/>
          <w:szCs w:val="30"/>
          <w:lang w:eastAsia="zh-CN"/>
        </w:rPr>
        <w:t>准确可</w:t>
      </w:r>
      <w:proofErr w:type="gramEnd"/>
      <w:r w:rsidRPr="003D41DE">
        <w:rPr>
          <w:rFonts w:ascii="仿宋_GB2312" w:eastAsia="仿宋_GB2312" w:hint="eastAsia"/>
          <w:spacing w:val="-4"/>
          <w:sz w:val="30"/>
          <w:szCs w:val="30"/>
          <w:lang w:eastAsia="zh-CN"/>
        </w:rPr>
        <w:t>衡量。</w:t>
      </w:r>
    </w:p>
    <w:p w:rsidR="00996C5B" w:rsidRPr="003D41DE" w:rsidRDefault="00996C5B" w:rsidP="00FC1865">
      <w:pPr>
        <w:spacing w:line="574" w:lineRule="exact"/>
        <w:ind w:firstLineChars="200" w:firstLine="592"/>
        <w:jc w:val="both"/>
        <w:rPr>
          <w:rFonts w:ascii="仿宋_GB2312" w:eastAsia="仿宋_GB2312" w:hint="eastAsia"/>
          <w:spacing w:val="-4"/>
          <w:sz w:val="30"/>
          <w:szCs w:val="30"/>
          <w:lang w:eastAsia="zh-CN"/>
        </w:rPr>
      </w:pPr>
    </w:p>
    <w:sectPr w:rsidR="00996C5B" w:rsidRPr="003D41DE">
      <w:type w:val="continuous"/>
      <w:pgSz w:w="11910" w:h="16840"/>
      <w:pgMar w:top="2098" w:right="1474" w:bottom="1984" w:left="15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46" w:rsidRDefault="00913246" w:rsidP="0005147D">
      <w:r>
        <w:separator/>
      </w:r>
    </w:p>
  </w:endnote>
  <w:endnote w:type="continuationSeparator" w:id="0">
    <w:p w:rsidR="00913246" w:rsidRDefault="00913246" w:rsidP="0005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Arial Unicode MS"/>
    <w:charset w:val="86"/>
    <w:family w:val="swiss"/>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46" w:rsidRDefault="00913246" w:rsidP="0005147D">
      <w:r>
        <w:separator/>
      </w:r>
    </w:p>
  </w:footnote>
  <w:footnote w:type="continuationSeparator" w:id="0">
    <w:p w:rsidR="00913246" w:rsidRDefault="00913246" w:rsidP="00051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DA42C"/>
    <w:multiLevelType w:val="singleLevel"/>
    <w:tmpl w:val="C85DA42C"/>
    <w:lvl w:ilvl="0">
      <w:start w:val="1"/>
      <w:numFmt w:val="decimal"/>
      <w:suff w:val="nothing"/>
      <w:lvlText w:val="%1．"/>
      <w:lvlJc w:val="left"/>
      <w:pPr>
        <w:ind w:left="0" w:firstLine="400"/>
      </w:pPr>
      <w:rPr>
        <w:rFonts w:hint="default"/>
      </w:rPr>
    </w:lvl>
  </w:abstractNum>
  <w:abstractNum w:abstractNumId="1">
    <w:nsid w:val="083B40A1"/>
    <w:multiLevelType w:val="singleLevel"/>
    <w:tmpl w:val="083B40A1"/>
    <w:lvl w:ilvl="0">
      <w:start w:val="1"/>
      <w:numFmt w:val="decimal"/>
      <w:suff w:val="nothing"/>
      <w:lvlText w:val="%1．"/>
      <w:lvlJc w:val="left"/>
      <w:pPr>
        <w:ind w:left="0" w:firstLine="400"/>
      </w:pPr>
      <w:rPr>
        <w:rFonts w:hint="default"/>
      </w:rPr>
    </w:lvl>
  </w:abstractNum>
  <w:abstractNum w:abstractNumId="2">
    <w:nsid w:val="67853A45"/>
    <w:multiLevelType w:val="singleLevel"/>
    <w:tmpl w:val="67853A45"/>
    <w:lvl w:ilvl="0">
      <w:start w:val="1"/>
      <w:numFmt w:val="decimal"/>
      <w:suff w:val="nothing"/>
      <w:lvlText w:val="%1．"/>
      <w:lvlJc w:val="left"/>
      <w:pPr>
        <w:ind w:left="0" w:firstLine="4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86"/>
    <w:rsid w:val="0000186F"/>
    <w:rsid w:val="00027842"/>
    <w:rsid w:val="0005147D"/>
    <w:rsid w:val="000F0010"/>
    <w:rsid w:val="001076FD"/>
    <w:rsid w:val="00112A3C"/>
    <w:rsid w:val="0012335B"/>
    <w:rsid w:val="00123574"/>
    <w:rsid w:val="001D43CE"/>
    <w:rsid w:val="001E1F08"/>
    <w:rsid w:val="001F5652"/>
    <w:rsid w:val="002034C4"/>
    <w:rsid w:val="00223670"/>
    <w:rsid w:val="00242B9A"/>
    <w:rsid w:val="0028378A"/>
    <w:rsid w:val="0029522B"/>
    <w:rsid w:val="002F39B9"/>
    <w:rsid w:val="00317F35"/>
    <w:rsid w:val="0034336E"/>
    <w:rsid w:val="00397809"/>
    <w:rsid w:val="003D41DE"/>
    <w:rsid w:val="003D4D43"/>
    <w:rsid w:val="00404149"/>
    <w:rsid w:val="00412A90"/>
    <w:rsid w:val="00427AA3"/>
    <w:rsid w:val="00453872"/>
    <w:rsid w:val="00483E2B"/>
    <w:rsid w:val="00485FCA"/>
    <w:rsid w:val="00496584"/>
    <w:rsid w:val="004A148B"/>
    <w:rsid w:val="004B1555"/>
    <w:rsid w:val="004E3E98"/>
    <w:rsid w:val="004F2889"/>
    <w:rsid w:val="00541FD2"/>
    <w:rsid w:val="0055497B"/>
    <w:rsid w:val="0058181F"/>
    <w:rsid w:val="005C5968"/>
    <w:rsid w:val="005D094F"/>
    <w:rsid w:val="005D61F8"/>
    <w:rsid w:val="006032DC"/>
    <w:rsid w:val="006452DF"/>
    <w:rsid w:val="006A0286"/>
    <w:rsid w:val="006F1257"/>
    <w:rsid w:val="006F2AB8"/>
    <w:rsid w:val="00705B52"/>
    <w:rsid w:val="0072674E"/>
    <w:rsid w:val="007416BA"/>
    <w:rsid w:val="0075652D"/>
    <w:rsid w:val="00784065"/>
    <w:rsid w:val="007A754E"/>
    <w:rsid w:val="007C008B"/>
    <w:rsid w:val="007D492C"/>
    <w:rsid w:val="00830C91"/>
    <w:rsid w:val="008A2ABF"/>
    <w:rsid w:val="008C735A"/>
    <w:rsid w:val="008D7527"/>
    <w:rsid w:val="008F6FC9"/>
    <w:rsid w:val="00913246"/>
    <w:rsid w:val="00926E98"/>
    <w:rsid w:val="0095504B"/>
    <w:rsid w:val="00996C5B"/>
    <w:rsid w:val="009B2D68"/>
    <w:rsid w:val="009F521A"/>
    <w:rsid w:val="00A03F28"/>
    <w:rsid w:val="00A14DE2"/>
    <w:rsid w:val="00A6749A"/>
    <w:rsid w:val="00A72387"/>
    <w:rsid w:val="00A863A2"/>
    <w:rsid w:val="00AA24DC"/>
    <w:rsid w:val="00AC69E3"/>
    <w:rsid w:val="00B14C89"/>
    <w:rsid w:val="00B160AB"/>
    <w:rsid w:val="00B33955"/>
    <w:rsid w:val="00BD1F01"/>
    <w:rsid w:val="00C93097"/>
    <w:rsid w:val="00CB64D3"/>
    <w:rsid w:val="00D20830"/>
    <w:rsid w:val="00D71C46"/>
    <w:rsid w:val="00D855DD"/>
    <w:rsid w:val="00D85F96"/>
    <w:rsid w:val="00DE067D"/>
    <w:rsid w:val="00DF053C"/>
    <w:rsid w:val="00E1011A"/>
    <w:rsid w:val="00E70A55"/>
    <w:rsid w:val="00EB03FD"/>
    <w:rsid w:val="00ED06B2"/>
    <w:rsid w:val="00ED5FDF"/>
    <w:rsid w:val="00EF65E3"/>
    <w:rsid w:val="00F161C4"/>
    <w:rsid w:val="00F32AD9"/>
    <w:rsid w:val="00F35A70"/>
    <w:rsid w:val="00F36357"/>
    <w:rsid w:val="00F4202D"/>
    <w:rsid w:val="00FB5E7E"/>
    <w:rsid w:val="00FC1865"/>
    <w:rsid w:val="00FC405A"/>
    <w:rsid w:val="00FC7877"/>
    <w:rsid w:val="331217FF"/>
    <w:rsid w:val="5C4E1BEB"/>
    <w:rsid w:val="63CC1360"/>
    <w:rsid w:val="6B7C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eastAsia="en-US"/>
    </w:rPr>
  </w:style>
  <w:style w:type="paragraph" w:styleId="1">
    <w:name w:val="heading 1"/>
    <w:basedOn w:val="a"/>
    <w:next w:val="a"/>
    <w:uiPriority w:val="1"/>
    <w:qFormat/>
    <w:pPr>
      <w:ind w:left="100"/>
      <w:outlineLvl w:val="0"/>
    </w:pPr>
    <w:rPr>
      <w:rFonts w:ascii="宋体" w:eastAsia="宋体" w:hAnsi="宋体"/>
      <w:sz w:val="36"/>
      <w:szCs w:val="36"/>
    </w:rPr>
  </w:style>
  <w:style w:type="paragraph" w:styleId="2">
    <w:name w:val="heading 2"/>
    <w:basedOn w:val="a"/>
    <w:next w:val="a"/>
    <w:uiPriority w:val="1"/>
    <w:qFormat/>
    <w:pPr>
      <w:ind w:left="-21" w:firstLine="2592"/>
      <w:outlineLvl w:val="1"/>
    </w:pPr>
    <w:rPr>
      <w:rFonts w:ascii="宋体" w:eastAsia="宋体" w:hAnsi="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07"/>
      <w:ind w:left="120"/>
    </w:pPr>
    <w:rPr>
      <w:rFonts w:ascii="宋体" w:eastAsia="宋体" w:hAnsi="宋体"/>
      <w:sz w:val="30"/>
      <w:szCs w:val="30"/>
    </w:rPr>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qFormat/>
    <w:pPr>
      <w:widowControl w:val="0"/>
      <w:autoSpaceDE w:val="0"/>
      <w:autoSpaceDN w:val="0"/>
      <w:adjustRightInd w:val="0"/>
    </w:pPr>
    <w:rPr>
      <w:rFonts w:ascii="方正黑体_GBK" w:hAnsi="方正黑体_GBK" w:cs="方正黑体_GBK"/>
      <w:color w:val="000000"/>
      <w:sz w:val="24"/>
      <w:szCs w:val="24"/>
      <w:lang w:eastAsia="en-U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Normal (Web)"/>
    <w:basedOn w:val="a"/>
    <w:rsid w:val="004A148B"/>
    <w:pPr>
      <w:spacing w:beforeAutospacing="1" w:afterAutospacing="1"/>
    </w:pPr>
    <w:rPr>
      <w:rFonts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eastAsia="en-US"/>
    </w:rPr>
  </w:style>
  <w:style w:type="paragraph" w:styleId="1">
    <w:name w:val="heading 1"/>
    <w:basedOn w:val="a"/>
    <w:next w:val="a"/>
    <w:uiPriority w:val="1"/>
    <w:qFormat/>
    <w:pPr>
      <w:ind w:left="100"/>
      <w:outlineLvl w:val="0"/>
    </w:pPr>
    <w:rPr>
      <w:rFonts w:ascii="宋体" w:eastAsia="宋体" w:hAnsi="宋体"/>
      <w:sz w:val="36"/>
      <w:szCs w:val="36"/>
    </w:rPr>
  </w:style>
  <w:style w:type="paragraph" w:styleId="2">
    <w:name w:val="heading 2"/>
    <w:basedOn w:val="a"/>
    <w:next w:val="a"/>
    <w:uiPriority w:val="1"/>
    <w:qFormat/>
    <w:pPr>
      <w:ind w:left="-21" w:firstLine="2592"/>
      <w:outlineLvl w:val="1"/>
    </w:pPr>
    <w:rPr>
      <w:rFonts w:ascii="宋体" w:eastAsia="宋体" w:hAnsi="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07"/>
      <w:ind w:left="120"/>
    </w:pPr>
    <w:rPr>
      <w:rFonts w:ascii="宋体" w:eastAsia="宋体" w:hAnsi="宋体"/>
      <w:sz w:val="30"/>
      <w:szCs w:val="30"/>
    </w:rPr>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qFormat/>
    <w:pPr>
      <w:widowControl w:val="0"/>
      <w:autoSpaceDE w:val="0"/>
      <w:autoSpaceDN w:val="0"/>
      <w:adjustRightInd w:val="0"/>
    </w:pPr>
    <w:rPr>
      <w:rFonts w:ascii="方正黑体_GBK" w:hAnsi="方正黑体_GBK" w:cs="方正黑体_GBK"/>
      <w:color w:val="000000"/>
      <w:sz w:val="24"/>
      <w:szCs w:val="24"/>
      <w:lang w:eastAsia="en-U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Normal (Web)"/>
    <w:basedOn w:val="a"/>
    <w:rsid w:val="004A148B"/>
    <w:pPr>
      <w:spacing w:beforeAutospacing="1" w:afterAutospacing="1"/>
    </w:pPr>
    <w:rPr>
      <w:rFont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9</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张肖军(拟稿)</dc:creator>
  <cp:lastModifiedBy>JIANGJIANG</cp:lastModifiedBy>
  <cp:revision>81</cp:revision>
  <dcterms:created xsi:type="dcterms:W3CDTF">2021-08-19T09:37:00Z</dcterms:created>
  <dcterms:modified xsi:type="dcterms:W3CDTF">2023-05-23T01:40:00Z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Acrobat Pro 11.0.7</vt:lpwstr>
  </property>
  <property fmtid="{D5CDD505-2E9C-101B-9397-08002B2CF9AE}" pid="4" name="LastSaved">
    <vt:filetime>2021-08-19T00:00:00Z</vt:filetime>
  </property>
  <property fmtid="{D5CDD505-2E9C-101B-9397-08002B2CF9AE}" pid="5" name="KSOProductBuildVer">
    <vt:lpwstr>2052-11.1.0.10667</vt:lpwstr>
  </property>
  <property fmtid="{D5CDD505-2E9C-101B-9397-08002B2CF9AE}" pid="6" name="ICV">
    <vt:lpwstr>6110B7415DC740C58185CD86345CBEB1</vt:lpwstr>
  </property>
</Properties>
</file>