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_GBK" w:eastAsia="方正小标宋_GBK"/>
          <w:sz w:val="36"/>
          <w:szCs w:val="36"/>
          <w:lang w:eastAsia="zh-CN"/>
        </w:rPr>
      </w:pPr>
      <w:r>
        <w:rPr>
          <w:rFonts w:hint="eastAsia" w:ascii="方正小标宋_GBK" w:eastAsia="方正小标宋_GBK"/>
          <w:sz w:val="36"/>
          <w:szCs w:val="36"/>
          <w:lang w:eastAsia="zh-CN"/>
        </w:rPr>
        <w:t>江苏省政府专项债券项目绩效自评价报告</w:t>
      </w:r>
    </w:p>
    <w:p>
      <w:pPr>
        <w:spacing w:line="580" w:lineRule="exact"/>
        <w:jc w:val="center"/>
        <w:rPr>
          <w:rFonts w:ascii="方正楷体_GBK" w:eastAsia="方正楷体_GBK"/>
          <w:sz w:val="30"/>
          <w:szCs w:val="30"/>
          <w:lang w:eastAsia="zh-CN"/>
        </w:rPr>
      </w:pPr>
      <w:r>
        <w:rPr>
          <w:rFonts w:hint="eastAsia" w:ascii="方正楷体_GBK" w:eastAsia="方正楷体_GBK"/>
          <w:sz w:val="30"/>
          <w:szCs w:val="30"/>
          <w:lang w:eastAsia="zh-CN"/>
        </w:rPr>
        <w:t>（苏州科技城南大附属幼儿园二园项目）</w:t>
      </w:r>
    </w:p>
    <w:p>
      <w:pPr>
        <w:spacing w:line="580" w:lineRule="exact"/>
        <w:ind w:firstLine="544" w:firstLineChars="200"/>
        <w:jc w:val="both"/>
        <w:rPr>
          <w:rFonts w:ascii="仿宋" w:hAnsi="仿宋" w:eastAsia="仿宋" w:cs="仿宋"/>
          <w:spacing w:val="-4"/>
          <w:sz w:val="28"/>
          <w:szCs w:val="28"/>
          <w:lang w:eastAsia="zh-CN"/>
        </w:rPr>
      </w:pPr>
    </w:p>
    <w:p>
      <w:pPr>
        <w:spacing w:line="580" w:lineRule="exact"/>
        <w:ind w:firstLine="624" w:firstLineChars="200"/>
        <w:jc w:val="both"/>
        <w:rPr>
          <w:rFonts w:ascii="黑体" w:hAnsi="黑体" w:eastAsia="黑体" w:cs="仿宋"/>
          <w:spacing w:val="-4"/>
          <w:sz w:val="32"/>
          <w:szCs w:val="32"/>
          <w:lang w:eastAsia="zh-CN"/>
        </w:rPr>
      </w:pPr>
      <w:r>
        <w:rPr>
          <w:rFonts w:hint="eastAsia" w:ascii="黑体" w:hAnsi="黑体" w:eastAsia="黑体" w:cs="仿宋"/>
          <w:spacing w:val="-4"/>
          <w:sz w:val="32"/>
          <w:szCs w:val="32"/>
          <w:lang w:eastAsia="zh-CN"/>
        </w:rPr>
        <w:t>一、项目情况</w:t>
      </w:r>
    </w:p>
    <w:p>
      <w:pPr>
        <w:spacing w:line="580" w:lineRule="exact"/>
        <w:ind w:firstLine="624" w:firstLineChars="200"/>
        <w:jc w:val="both"/>
        <w:rPr>
          <w:rFonts w:ascii="楷体" w:hAnsi="楷体" w:eastAsia="楷体" w:cs="仿宋"/>
          <w:spacing w:val="-4"/>
          <w:sz w:val="32"/>
          <w:szCs w:val="32"/>
          <w:lang w:eastAsia="zh-CN"/>
        </w:rPr>
      </w:pPr>
      <w:r>
        <w:rPr>
          <w:rFonts w:hint="eastAsia" w:ascii="楷体" w:hAnsi="楷体" w:eastAsia="楷体" w:cs="仿宋"/>
          <w:spacing w:val="-4"/>
          <w:sz w:val="32"/>
          <w:szCs w:val="32"/>
          <w:lang w:eastAsia="zh-CN"/>
        </w:rPr>
        <w:t>(一)项目背景</w:t>
      </w:r>
    </w:p>
    <w:p>
      <w:pPr>
        <w:autoSpaceDE w:val="0"/>
        <w:autoSpaceDN w:val="0"/>
        <w:spacing w:line="580" w:lineRule="exact"/>
        <w:ind w:firstLine="624" w:firstLineChars="200"/>
        <w:rPr>
          <w:rFonts w:ascii="仿宋" w:hAnsi="仿宋" w:eastAsia="仿宋" w:cs="仿宋"/>
          <w:spacing w:val="-4"/>
          <w:sz w:val="32"/>
          <w:szCs w:val="32"/>
          <w:lang w:eastAsia="zh-CN"/>
        </w:rPr>
      </w:pPr>
      <w:r>
        <w:rPr>
          <w:rFonts w:hint="eastAsia" w:ascii="仿宋" w:hAnsi="仿宋" w:eastAsia="仿宋" w:cs="仿宋"/>
          <w:spacing w:val="-4"/>
          <w:sz w:val="32"/>
          <w:szCs w:val="32"/>
          <w:lang w:eastAsia="zh-CN"/>
        </w:rPr>
        <w:t>近年来，随着苏州科技城的开发建设，居住区逐渐成熟，区域功能不断完善，区内居民对公共服务设施的需求日益增强，特别是教育资源的需求明显增强。根据《苏州高新区教育高质量发展三年行动计划》（2021-2023），三年期间，高新区将新建幼儿园15所。因此，苏州科技城在相关政策文件指导下，借助南大苏州校区建设契机，构建科技城教育链—“南京大学附属学校”优质教育链，为苏州高新区建设教育高质量发展创新示范区、打造长三角重要的人才中心和创新高地，新建南大附属幼儿园二园。</w:t>
      </w:r>
    </w:p>
    <w:p>
      <w:pPr>
        <w:spacing w:line="580" w:lineRule="exact"/>
        <w:ind w:firstLine="624" w:firstLineChars="200"/>
        <w:jc w:val="both"/>
        <w:rPr>
          <w:rFonts w:ascii="楷体" w:hAnsi="楷体" w:eastAsia="楷体" w:cs="仿宋"/>
          <w:spacing w:val="-4"/>
          <w:sz w:val="32"/>
          <w:szCs w:val="32"/>
          <w:lang w:eastAsia="zh-CN"/>
        </w:rPr>
      </w:pPr>
      <w:r>
        <w:rPr>
          <w:rFonts w:hint="eastAsia" w:ascii="楷体" w:hAnsi="楷体" w:eastAsia="楷体" w:cs="仿宋"/>
          <w:spacing w:val="-4"/>
          <w:sz w:val="32"/>
          <w:szCs w:val="32"/>
          <w:lang w:eastAsia="zh-CN"/>
        </w:rPr>
        <w:t>（二）项目立项依据</w:t>
      </w:r>
    </w:p>
    <w:p>
      <w:pPr>
        <w:autoSpaceDE w:val="0"/>
        <w:autoSpaceDN w:val="0"/>
        <w:spacing w:line="580" w:lineRule="exact"/>
        <w:ind w:firstLine="624" w:firstLineChars="200"/>
        <w:rPr>
          <w:rFonts w:ascii="仿宋" w:hAnsi="仿宋" w:eastAsia="仿宋" w:cs="仿宋"/>
          <w:spacing w:val="-4"/>
          <w:sz w:val="32"/>
          <w:szCs w:val="32"/>
          <w:lang w:eastAsia="zh-CN"/>
        </w:rPr>
      </w:pPr>
      <w:r>
        <w:rPr>
          <w:rFonts w:hint="eastAsia" w:ascii="仿宋" w:hAnsi="仿宋" w:eastAsia="仿宋" w:cs="仿宋"/>
          <w:spacing w:val="-4"/>
          <w:sz w:val="32"/>
          <w:szCs w:val="32"/>
          <w:lang w:eastAsia="zh-CN"/>
        </w:rPr>
        <w:t>该项目系根据2022年8月26日《关于苏州科技城社会事业服务中心南大附属幼儿园二园项目建议书的批复》（苏虎行审投项〔2022〕145号）实施。根据批复，项目位于苏州高新区科技城昆仑山路南、规划道路东地块。项目计划内容：新建南大附属幼儿园二园，形成8轨24班的教学规模，项目总建筑面积约18500平方米。项目总投资16,200万元，其中：政府预算资金安排6,200万元，政府专项债券资金安排10,000万元。</w:t>
      </w:r>
    </w:p>
    <w:p>
      <w:pPr>
        <w:spacing w:line="580" w:lineRule="exact"/>
        <w:ind w:firstLine="624" w:firstLineChars="200"/>
        <w:jc w:val="both"/>
        <w:rPr>
          <w:rFonts w:ascii="楷体" w:hAnsi="楷体" w:eastAsia="楷体" w:cs="仿宋"/>
          <w:spacing w:val="-4"/>
          <w:sz w:val="32"/>
          <w:szCs w:val="32"/>
          <w:lang w:eastAsia="zh-CN"/>
        </w:rPr>
      </w:pPr>
      <w:r>
        <w:rPr>
          <w:rFonts w:hint="eastAsia" w:ascii="楷体" w:hAnsi="楷体" w:eastAsia="楷体" w:cs="仿宋"/>
          <w:spacing w:val="-4"/>
          <w:sz w:val="32"/>
          <w:szCs w:val="32"/>
          <w:lang w:eastAsia="zh-CN"/>
        </w:rPr>
        <w:t>（三）专项债券基本情况</w:t>
      </w:r>
    </w:p>
    <w:p>
      <w:pPr>
        <w:autoSpaceDE w:val="0"/>
        <w:autoSpaceDN w:val="0"/>
        <w:spacing w:line="580" w:lineRule="exact"/>
        <w:ind w:firstLine="624" w:firstLineChars="200"/>
        <w:rPr>
          <w:rFonts w:hint="eastAsia" w:ascii="仿宋" w:hAnsi="仿宋" w:eastAsia="仿宋" w:cs="仿宋"/>
          <w:spacing w:val="-4"/>
          <w:sz w:val="32"/>
          <w:szCs w:val="32"/>
          <w:lang w:eastAsia="zh-CN"/>
        </w:rPr>
      </w:pPr>
      <w:r>
        <w:rPr>
          <w:rFonts w:hint="eastAsia" w:ascii="仿宋" w:hAnsi="仿宋" w:eastAsia="仿宋" w:cs="仿宋"/>
          <w:spacing w:val="-4"/>
          <w:sz w:val="32"/>
          <w:szCs w:val="32"/>
          <w:lang w:eastAsia="zh-CN"/>
        </w:rPr>
        <w:t>苏州高新区南大附属幼儿园二园项目列入2023年江苏省城镇建设专项债券（二期）—2023年江苏省政府专项债券（二期），项目主管单位为苏州科技城管委会，专项债发行金额7,000万元，发行期限15年，利率3.13%。</w:t>
      </w:r>
    </w:p>
    <w:p>
      <w:pPr>
        <w:spacing w:line="580" w:lineRule="exact"/>
        <w:ind w:firstLine="624" w:firstLineChars="200"/>
        <w:jc w:val="both"/>
        <w:rPr>
          <w:rFonts w:ascii="黑体" w:hAnsi="黑体" w:eastAsia="黑体" w:cs="仿宋"/>
          <w:spacing w:val="-4"/>
          <w:sz w:val="32"/>
          <w:szCs w:val="32"/>
          <w:lang w:eastAsia="zh-CN"/>
        </w:rPr>
      </w:pPr>
      <w:r>
        <w:rPr>
          <w:rFonts w:hint="eastAsia" w:ascii="黑体" w:hAnsi="黑体" w:eastAsia="黑体" w:cs="仿宋"/>
          <w:spacing w:val="-4"/>
          <w:sz w:val="32"/>
          <w:szCs w:val="32"/>
          <w:lang w:eastAsia="zh-CN"/>
        </w:rPr>
        <w:t>二、</w:t>
      </w:r>
      <w:r>
        <w:rPr>
          <w:rFonts w:ascii="黑体" w:hAnsi="黑体" w:eastAsia="黑体"/>
          <w:sz w:val="32"/>
          <w:szCs w:val="32"/>
          <w:lang w:eastAsia="zh-CN"/>
        </w:rPr>
        <w:t>绩效目标和指标完成情况</w:t>
      </w:r>
    </w:p>
    <w:p>
      <w:pPr>
        <w:spacing w:line="580" w:lineRule="exact"/>
        <w:ind w:firstLine="640" w:firstLineChars="200"/>
        <w:jc w:val="both"/>
        <w:rPr>
          <w:rFonts w:ascii="楷体" w:hAnsi="楷体" w:eastAsia="楷体" w:cs="仿宋"/>
          <w:sz w:val="32"/>
          <w:szCs w:val="32"/>
          <w:lang w:eastAsia="zh-CN"/>
        </w:rPr>
      </w:pPr>
      <w:r>
        <w:rPr>
          <w:rFonts w:hint="eastAsia" w:ascii="仿宋" w:hAnsi="仿宋" w:eastAsia="仿宋" w:cs="宋体"/>
          <w:kern w:val="2"/>
          <w:sz w:val="32"/>
          <w:szCs w:val="32"/>
          <w:lang w:eastAsia="zh-CN"/>
        </w:rPr>
        <w:t>苏州高新区南大附属幼儿园二园政府专项债券项目绩效，评分为90.20分，评价等级为“优秀”。本次绩效指标体系由四部分组成，具体结果如下：</w:t>
      </w:r>
    </w:p>
    <w:tbl>
      <w:tblPr>
        <w:tblStyle w:val="11"/>
        <w:tblW w:w="3440" w:type="pct"/>
        <w:tblInd w:w="643" w:type="dxa"/>
        <w:tblLayout w:type="autofit"/>
        <w:tblCellMar>
          <w:top w:w="0" w:type="dxa"/>
          <w:left w:w="108" w:type="dxa"/>
          <w:bottom w:w="0" w:type="dxa"/>
          <w:right w:w="108" w:type="dxa"/>
        </w:tblCellMar>
      </w:tblPr>
      <w:tblGrid>
        <w:gridCol w:w="2079"/>
        <w:gridCol w:w="1924"/>
        <w:gridCol w:w="2146"/>
      </w:tblGrid>
      <w:tr>
        <w:tblPrEx>
          <w:tblCellMar>
            <w:top w:w="0" w:type="dxa"/>
            <w:left w:w="108" w:type="dxa"/>
            <w:bottom w:w="0" w:type="dxa"/>
            <w:right w:w="108" w:type="dxa"/>
          </w:tblCellMar>
        </w:tblPrEx>
        <w:trPr>
          <w:trHeight w:val="280" w:hRule="atLeast"/>
        </w:trPr>
        <w:tc>
          <w:tcPr>
            <w:tcW w:w="2130" w:type="dxa"/>
            <w:tcBorders>
              <w:top w:val="single" w:color="000000" w:sz="4" w:space="0"/>
              <w:left w:val="single" w:color="000000" w:sz="4" w:space="0"/>
              <w:bottom w:val="single" w:color="000000" w:sz="4" w:space="0"/>
              <w:right w:val="single" w:color="000000" w:sz="4" w:space="0"/>
            </w:tcBorders>
            <w:shd w:val="clear" w:color="auto" w:fill="BFBFBF"/>
            <w:vAlign w:val="center"/>
          </w:tcPr>
          <w:p>
            <w:pPr>
              <w:widowControl/>
              <w:jc w:val="center"/>
              <w:textAlignment w:val="center"/>
              <w:rPr>
                <w:rFonts w:ascii="仿宋" w:hAnsi="仿宋" w:eastAsia="仿宋" w:cs="宋体"/>
                <w:b/>
                <w:bCs/>
                <w:color w:val="000000"/>
                <w:sz w:val="32"/>
                <w:szCs w:val="32"/>
              </w:rPr>
            </w:pPr>
            <w:r>
              <w:rPr>
                <w:rFonts w:hint="eastAsia" w:ascii="仿宋" w:hAnsi="仿宋" w:eastAsia="仿宋" w:cs="宋体"/>
                <w:b/>
                <w:bCs/>
                <w:color w:val="000000"/>
                <w:sz w:val="32"/>
                <w:szCs w:val="32"/>
                <w:lang w:eastAsia="zh-CN" w:bidi="ar"/>
              </w:rPr>
              <w:t>一级指标</w:t>
            </w:r>
          </w:p>
        </w:tc>
        <w:tc>
          <w:tcPr>
            <w:tcW w:w="1924" w:type="dxa"/>
            <w:tcBorders>
              <w:top w:val="single" w:color="000000" w:sz="4" w:space="0"/>
              <w:left w:val="single" w:color="000000" w:sz="4" w:space="0"/>
              <w:bottom w:val="single" w:color="000000" w:sz="4" w:space="0"/>
              <w:right w:val="single" w:color="000000" w:sz="4" w:space="0"/>
            </w:tcBorders>
            <w:shd w:val="clear" w:color="auto" w:fill="BFBFBF"/>
            <w:vAlign w:val="center"/>
          </w:tcPr>
          <w:p>
            <w:pPr>
              <w:widowControl/>
              <w:jc w:val="center"/>
              <w:textAlignment w:val="center"/>
              <w:rPr>
                <w:rFonts w:ascii="仿宋" w:hAnsi="仿宋" w:eastAsia="仿宋" w:cs="宋体"/>
                <w:b/>
                <w:bCs/>
                <w:color w:val="000000"/>
                <w:sz w:val="32"/>
                <w:szCs w:val="32"/>
              </w:rPr>
            </w:pPr>
            <w:r>
              <w:rPr>
                <w:rFonts w:hint="eastAsia" w:ascii="仿宋" w:hAnsi="仿宋" w:eastAsia="仿宋" w:cs="宋体"/>
                <w:b/>
                <w:bCs/>
                <w:color w:val="000000"/>
                <w:sz w:val="32"/>
                <w:szCs w:val="32"/>
                <w:lang w:eastAsia="zh-CN" w:bidi="ar"/>
              </w:rPr>
              <w:t>权重</w:t>
            </w:r>
          </w:p>
        </w:tc>
        <w:tc>
          <w:tcPr>
            <w:tcW w:w="2183" w:type="dxa"/>
            <w:tcBorders>
              <w:top w:val="single" w:color="000000" w:sz="4" w:space="0"/>
              <w:left w:val="single" w:color="000000" w:sz="4" w:space="0"/>
              <w:bottom w:val="single" w:color="000000" w:sz="4" w:space="0"/>
              <w:right w:val="single" w:color="000000" w:sz="4" w:space="0"/>
            </w:tcBorders>
            <w:shd w:val="clear" w:color="auto" w:fill="BFBFBF"/>
            <w:vAlign w:val="center"/>
          </w:tcPr>
          <w:p>
            <w:pPr>
              <w:widowControl/>
              <w:jc w:val="center"/>
              <w:textAlignment w:val="center"/>
              <w:rPr>
                <w:rFonts w:ascii="仿宋" w:hAnsi="仿宋" w:eastAsia="仿宋" w:cs="宋体"/>
                <w:b/>
                <w:bCs/>
                <w:color w:val="000000"/>
                <w:sz w:val="32"/>
                <w:szCs w:val="32"/>
              </w:rPr>
            </w:pPr>
            <w:r>
              <w:rPr>
                <w:rFonts w:hint="eastAsia" w:ascii="仿宋" w:hAnsi="仿宋" w:eastAsia="仿宋" w:cs="宋体"/>
                <w:b/>
                <w:bCs/>
                <w:color w:val="000000"/>
                <w:sz w:val="32"/>
                <w:szCs w:val="32"/>
                <w:lang w:eastAsia="zh-CN" w:bidi="ar"/>
              </w:rPr>
              <w:t>评分</w:t>
            </w:r>
          </w:p>
        </w:tc>
      </w:tr>
      <w:tr>
        <w:tblPrEx>
          <w:tblCellMar>
            <w:top w:w="0" w:type="dxa"/>
            <w:left w:w="108" w:type="dxa"/>
            <w:bottom w:w="0" w:type="dxa"/>
            <w:right w:w="108" w:type="dxa"/>
          </w:tblCellMar>
        </w:tblPrEx>
        <w:trPr>
          <w:trHeight w:val="300"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hint="eastAsia" w:ascii="仿宋" w:hAnsi="仿宋" w:eastAsia="仿宋" w:cs="宋体"/>
                <w:color w:val="000000"/>
                <w:sz w:val="32"/>
                <w:szCs w:val="32"/>
                <w:lang w:eastAsia="zh-CN" w:bidi="ar"/>
              </w:rPr>
              <w:t>过程</w:t>
            </w:r>
          </w:p>
        </w:tc>
        <w:tc>
          <w:tcPr>
            <w:tcW w:w="192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30.00 </w:t>
            </w:r>
          </w:p>
        </w:tc>
        <w:tc>
          <w:tcPr>
            <w:tcW w:w="21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30.00 </w:t>
            </w:r>
          </w:p>
        </w:tc>
      </w:tr>
      <w:tr>
        <w:tblPrEx>
          <w:tblCellMar>
            <w:top w:w="0" w:type="dxa"/>
            <w:left w:w="108" w:type="dxa"/>
            <w:bottom w:w="0" w:type="dxa"/>
            <w:right w:w="108" w:type="dxa"/>
          </w:tblCellMar>
        </w:tblPrEx>
        <w:trPr>
          <w:trHeight w:val="300"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hint="eastAsia" w:ascii="仿宋" w:hAnsi="仿宋" w:eastAsia="仿宋" w:cs="宋体"/>
                <w:color w:val="000000"/>
                <w:sz w:val="32"/>
                <w:szCs w:val="32"/>
                <w:lang w:eastAsia="zh-CN" w:bidi="ar"/>
              </w:rPr>
              <w:t>产出</w:t>
            </w:r>
          </w:p>
        </w:tc>
        <w:tc>
          <w:tcPr>
            <w:tcW w:w="192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30.00 </w:t>
            </w:r>
          </w:p>
        </w:tc>
        <w:tc>
          <w:tcPr>
            <w:tcW w:w="21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27.00 </w:t>
            </w:r>
          </w:p>
        </w:tc>
      </w:tr>
      <w:tr>
        <w:tblPrEx>
          <w:tblCellMar>
            <w:top w:w="0" w:type="dxa"/>
            <w:left w:w="108" w:type="dxa"/>
            <w:bottom w:w="0" w:type="dxa"/>
            <w:right w:w="108" w:type="dxa"/>
          </w:tblCellMar>
        </w:tblPrEx>
        <w:trPr>
          <w:trHeight w:val="300"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hint="eastAsia" w:ascii="仿宋" w:hAnsi="仿宋" w:eastAsia="仿宋" w:cs="宋体"/>
                <w:color w:val="000000"/>
                <w:sz w:val="32"/>
                <w:szCs w:val="32"/>
                <w:lang w:eastAsia="zh-CN" w:bidi="ar"/>
              </w:rPr>
              <w:t>效益</w:t>
            </w:r>
          </w:p>
        </w:tc>
        <w:tc>
          <w:tcPr>
            <w:tcW w:w="192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30.00 </w:t>
            </w:r>
          </w:p>
        </w:tc>
        <w:tc>
          <w:tcPr>
            <w:tcW w:w="21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30.00 </w:t>
            </w:r>
          </w:p>
        </w:tc>
      </w:tr>
      <w:tr>
        <w:tblPrEx>
          <w:tblCellMar>
            <w:top w:w="0" w:type="dxa"/>
            <w:left w:w="108" w:type="dxa"/>
            <w:bottom w:w="0" w:type="dxa"/>
            <w:right w:w="108" w:type="dxa"/>
          </w:tblCellMar>
        </w:tblPrEx>
        <w:trPr>
          <w:trHeight w:val="300"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hint="eastAsia" w:ascii="仿宋" w:hAnsi="仿宋" w:eastAsia="仿宋" w:cs="宋体"/>
                <w:color w:val="000000"/>
                <w:sz w:val="32"/>
                <w:szCs w:val="32"/>
                <w:lang w:eastAsia="zh-CN" w:bidi="ar"/>
              </w:rPr>
              <w:t>满意度</w:t>
            </w:r>
          </w:p>
        </w:tc>
        <w:tc>
          <w:tcPr>
            <w:tcW w:w="192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宋体"/>
                <w:color w:val="000000"/>
                <w:sz w:val="32"/>
                <w:szCs w:val="32"/>
              </w:rPr>
            </w:pPr>
            <w:r>
              <w:rPr>
                <w:rFonts w:ascii="仿宋" w:hAnsi="仿宋" w:eastAsia="仿宋" w:cs="Times New Roman"/>
                <w:color w:val="000000"/>
                <w:sz w:val="32"/>
                <w:szCs w:val="32"/>
                <w:lang w:eastAsia="zh-CN" w:bidi="ar"/>
              </w:rPr>
              <w:t xml:space="preserve">10.00 </w:t>
            </w:r>
          </w:p>
        </w:tc>
        <w:tc>
          <w:tcPr>
            <w:tcW w:w="21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color w:val="000000"/>
                <w:sz w:val="32"/>
                <w:szCs w:val="32"/>
              </w:rPr>
            </w:pPr>
            <w:r>
              <w:rPr>
                <w:rFonts w:hint="eastAsia" w:ascii="仿宋" w:hAnsi="仿宋" w:eastAsia="仿宋" w:cs="Times New Roman"/>
                <w:color w:val="000000"/>
                <w:sz w:val="32"/>
                <w:szCs w:val="32"/>
                <w:lang w:eastAsia="zh-CN" w:bidi="ar"/>
              </w:rPr>
              <w:t>3</w:t>
            </w:r>
            <w:r>
              <w:rPr>
                <w:rFonts w:ascii="仿宋" w:hAnsi="仿宋" w:eastAsia="仿宋" w:cs="Times New Roman"/>
                <w:color w:val="000000"/>
                <w:sz w:val="32"/>
                <w:szCs w:val="32"/>
                <w:lang w:eastAsia="zh-CN" w:bidi="ar"/>
              </w:rPr>
              <w:t>.</w:t>
            </w:r>
            <w:r>
              <w:rPr>
                <w:rFonts w:hint="eastAsia" w:ascii="仿宋" w:hAnsi="仿宋" w:eastAsia="仿宋" w:cs="Times New Roman"/>
                <w:color w:val="000000"/>
                <w:sz w:val="32"/>
                <w:szCs w:val="32"/>
                <w:lang w:eastAsia="zh-CN" w:bidi="ar"/>
              </w:rPr>
              <w:t>2</w:t>
            </w:r>
            <w:r>
              <w:rPr>
                <w:rFonts w:ascii="仿宋" w:hAnsi="仿宋" w:eastAsia="仿宋" w:cs="Times New Roman"/>
                <w:color w:val="000000"/>
                <w:sz w:val="32"/>
                <w:szCs w:val="32"/>
                <w:lang w:eastAsia="zh-CN" w:bidi="ar"/>
              </w:rPr>
              <w:t xml:space="preserve">0 </w:t>
            </w:r>
          </w:p>
        </w:tc>
      </w:tr>
      <w:tr>
        <w:tblPrEx>
          <w:tblCellMar>
            <w:top w:w="0" w:type="dxa"/>
            <w:left w:w="108" w:type="dxa"/>
            <w:bottom w:w="0" w:type="dxa"/>
            <w:right w:w="108" w:type="dxa"/>
          </w:tblCellMar>
        </w:tblPrEx>
        <w:trPr>
          <w:trHeight w:val="300"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b/>
                <w:bCs/>
                <w:color w:val="000000"/>
                <w:sz w:val="32"/>
                <w:szCs w:val="32"/>
              </w:rPr>
            </w:pPr>
            <w:r>
              <w:rPr>
                <w:rFonts w:hint="eastAsia" w:ascii="仿宋" w:hAnsi="仿宋" w:eastAsia="仿宋" w:cs="宋体"/>
                <w:b/>
                <w:bCs/>
                <w:color w:val="000000"/>
                <w:sz w:val="32"/>
                <w:szCs w:val="32"/>
                <w:lang w:eastAsia="zh-CN" w:bidi="ar"/>
              </w:rPr>
              <w:t>合计</w:t>
            </w:r>
          </w:p>
        </w:tc>
        <w:tc>
          <w:tcPr>
            <w:tcW w:w="19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b/>
                <w:bCs/>
                <w:color w:val="000000"/>
                <w:sz w:val="32"/>
                <w:szCs w:val="32"/>
              </w:rPr>
            </w:pPr>
            <w:r>
              <w:rPr>
                <w:rFonts w:ascii="仿宋" w:hAnsi="仿宋" w:eastAsia="仿宋" w:cs="Times New Roman"/>
                <w:b/>
                <w:bCs/>
                <w:color w:val="000000"/>
                <w:sz w:val="32"/>
                <w:szCs w:val="32"/>
                <w:lang w:eastAsia="zh-CN" w:bidi="ar"/>
              </w:rPr>
              <w:t xml:space="preserve">100.00 </w:t>
            </w:r>
          </w:p>
        </w:tc>
        <w:tc>
          <w:tcPr>
            <w:tcW w:w="21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b/>
                <w:bCs/>
                <w:color w:val="000000"/>
                <w:sz w:val="32"/>
                <w:szCs w:val="32"/>
              </w:rPr>
            </w:pPr>
            <w:r>
              <w:rPr>
                <w:rFonts w:ascii="仿宋" w:hAnsi="仿宋" w:eastAsia="仿宋" w:cs="Times New Roman"/>
                <w:b/>
                <w:bCs/>
                <w:color w:val="000000"/>
                <w:sz w:val="32"/>
                <w:szCs w:val="32"/>
                <w:lang w:eastAsia="zh-CN" w:bidi="ar"/>
              </w:rPr>
              <w:t>9</w:t>
            </w:r>
            <w:r>
              <w:rPr>
                <w:rFonts w:hint="eastAsia" w:ascii="仿宋" w:hAnsi="仿宋" w:eastAsia="仿宋" w:cs="Times New Roman"/>
                <w:b/>
                <w:bCs/>
                <w:color w:val="000000"/>
                <w:sz w:val="32"/>
                <w:szCs w:val="32"/>
                <w:lang w:eastAsia="zh-CN" w:bidi="ar"/>
              </w:rPr>
              <w:t>0</w:t>
            </w:r>
            <w:r>
              <w:rPr>
                <w:rFonts w:ascii="仿宋" w:hAnsi="仿宋" w:eastAsia="仿宋" w:cs="Times New Roman"/>
                <w:b/>
                <w:bCs/>
                <w:color w:val="000000"/>
                <w:sz w:val="32"/>
                <w:szCs w:val="32"/>
                <w:lang w:eastAsia="zh-CN" w:bidi="ar"/>
              </w:rPr>
              <w:t>.</w:t>
            </w:r>
            <w:r>
              <w:rPr>
                <w:rFonts w:hint="eastAsia" w:ascii="仿宋" w:hAnsi="仿宋" w:eastAsia="仿宋" w:cs="Times New Roman"/>
                <w:b/>
                <w:bCs/>
                <w:color w:val="000000"/>
                <w:sz w:val="32"/>
                <w:szCs w:val="32"/>
                <w:lang w:eastAsia="zh-CN" w:bidi="ar"/>
              </w:rPr>
              <w:t>2</w:t>
            </w:r>
            <w:r>
              <w:rPr>
                <w:rFonts w:ascii="仿宋" w:hAnsi="仿宋" w:eastAsia="仿宋" w:cs="Times New Roman"/>
                <w:b/>
                <w:bCs/>
                <w:color w:val="000000"/>
                <w:sz w:val="32"/>
                <w:szCs w:val="32"/>
                <w:lang w:eastAsia="zh-CN" w:bidi="ar"/>
              </w:rPr>
              <w:t xml:space="preserve">0 </w:t>
            </w:r>
          </w:p>
        </w:tc>
      </w:tr>
    </w:tbl>
    <w:p>
      <w:pPr>
        <w:autoSpaceDE w:val="0"/>
        <w:autoSpaceDN w:val="0"/>
        <w:spacing w:before="120" w:beforeLines="50" w:after="120" w:afterLines="50" w:line="580" w:lineRule="exact"/>
        <w:ind w:firstLine="640" w:firstLineChars="200"/>
        <w:contextualSpacing/>
        <w:rPr>
          <w:rFonts w:ascii="仿宋" w:hAnsi="仿宋" w:eastAsia="仿宋" w:cs="Times New Roman"/>
          <w:b/>
          <w:sz w:val="32"/>
          <w:szCs w:val="32"/>
          <w:lang w:eastAsia="zh-CN"/>
        </w:rPr>
      </w:pPr>
      <w:r>
        <w:rPr>
          <w:rFonts w:hint="eastAsia" w:ascii="仿宋" w:hAnsi="仿宋" w:eastAsia="仿宋" w:cs="仿宋"/>
          <w:kern w:val="2"/>
          <w:sz w:val="32"/>
          <w:szCs w:val="32"/>
          <w:lang w:eastAsia="zh-Hans"/>
        </w:rPr>
        <w:t>绩效目标和指标完成情况</w:t>
      </w:r>
      <w:r>
        <w:rPr>
          <w:rFonts w:hint="eastAsia" w:ascii="仿宋" w:hAnsi="仿宋" w:eastAsia="仿宋" w:cs="仿宋"/>
          <w:kern w:val="2"/>
          <w:sz w:val="32"/>
          <w:szCs w:val="32"/>
          <w:lang w:eastAsia="zh-CN"/>
        </w:rPr>
        <w:t>主要扣分点如下：</w:t>
      </w:r>
    </w:p>
    <w:p>
      <w:pPr>
        <w:pStyle w:val="6"/>
        <w:numPr>
          <w:ilvl w:val="0"/>
          <w:numId w:val="1"/>
        </w:numPr>
        <w:spacing w:before="0" w:line="580" w:lineRule="exact"/>
        <w:ind w:left="0" w:firstLine="640" w:firstLineChars="200"/>
        <w:rPr>
          <w:rFonts w:ascii="仿宋" w:hAnsi="仿宋" w:eastAsia="仿宋" w:cs="宋体"/>
          <w:kern w:val="2"/>
          <w:sz w:val="32"/>
          <w:szCs w:val="32"/>
          <w:lang w:eastAsia="zh-CN"/>
        </w:rPr>
      </w:pPr>
      <w:r>
        <w:rPr>
          <w:rFonts w:hint="eastAsia" w:ascii="仿宋" w:hAnsi="仿宋" w:eastAsia="仿宋" w:cs="宋体"/>
          <w:kern w:val="2"/>
          <w:sz w:val="32"/>
          <w:szCs w:val="32"/>
          <w:lang w:eastAsia="zh-CN"/>
        </w:rPr>
        <w:t>产出指标中的“完成招标”目标值“100%”，实际未提供年度应招标的任务数量，无法判断是否均完成招标，按评分标准扣1.5分；</w:t>
      </w:r>
    </w:p>
    <w:p>
      <w:pPr>
        <w:pStyle w:val="6"/>
        <w:numPr>
          <w:ilvl w:val="0"/>
          <w:numId w:val="1"/>
        </w:numPr>
        <w:spacing w:before="0" w:line="580" w:lineRule="exact"/>
        <w:ind w:left="0" w:firstLine="640" w:firstLineChars="200"/>
        <w:rPr>
          <w:rFonts w:ascii="仿宋" w:hAnsi="仿宋" w:eastAsia="仿宋" w:cs="宋体"/>
          <w:kern w:val="2"/>
          <w:sz w:val="32"/>
          <w:szCs w:val="32"/>
          <w:lang w:eastAsia="zh-CN"/>
        </w:rPr>
      </w:pPr>
      <w:r>
        <w:rPr>
          <w:rFonts w:hint="eastAsia" w:ascii="仿宋" w:hAnsi="仿宋" w:eastAsia="仿宋" w:cs="宋体"/>
          <w:kern w:val="2"/>
          <w:sz w:val="32"/>
          <w:szCs w:val="32"/>
          <w:lang w:eastAsia="zh-CN"/>
        </w:rPr>
        <w:t>产出指标中的“成本控制率”目标值“100%”，实际项目已发生成本未超概算，但未能提供完整的合同签订及付款进度台账，无法判断成本控制情况，按评分标准扣1.5分；</w:t>
      </w:r>
    </w:p>
    <w:p>
      <w:pPr>
        <w:numPr>
          <w:ilvl w:val="0"/>
          <w:numId w:val="1"/>
        </w:numPr>
        <w:autoSpaceDE w:val="0"/>
        <w:autoSpaceDN w:val="0"/>
        <w:spacing w:line="580" w:lineRule="exact"/>
        <w:ind w:firstLine="640" w:firstLineChars="200"/>
        <w:jc w:val="both"/>
        <w:rPr>
          <w:rFonts w:ascii="仿宋" w:hAnsi="仿宋" w:eastAsia="仿宋" w:cs="宋体"/>
          <w:sz w:val="32"/>
          <w:szCs w:val="32"/>
          <w:lang w:eastAsia="zh-CN"/>
        </w:rPr>
      </w:pPr>
      <w:r>
        <w:rPr>
          <w:rFonts w:hint="eastAsia" w:ascii="仿宋" w:hAnsi="仿宋" w:eastAsia="仿宋" w:cs="宋体"/>
          <w:sz w:val="32"/>
          <w:szCs w:val="32"/>
          <w:lang w:eastAsia="zh-CN"/>
        </w:rPr>
        <w:t>满意度指标目标值为90%，实际完成值为100%，但调查对象较少，无满意度方案，未对调查结果进行分析，调查时间滞后</w:t>
      </w:r>
      <w:bookmarkStart w:id="0" w:name="_GoBack"/>
      <w:bookmarkEnd w:id="0"/>
      <w:r>
        <w:rPr>
          <w:rFonts w:hint="eastAsia" w:ascii="仿宋" w:hAnsi="仿宋" w:eastAsia="仿宋" w:cs="宋体"/>
          <w:sz w:val="32"/>
          <w:szCs w:val="32"/>
          <w:lang w:eastAsia="zh-CN"/>
        </w:rPr>
        <w:t>，</w:t>
      </w:r>
      <w:r>
        <w:rPr>
          <w:rFonts w:hint="eastAsia" w:ascii="仿宋" w:hAnsi="仿宋" w:eastAsia="仿宋" w:cs="宋体"/>
          <w:kern w:val="2"/>
          <w:sz w:val="32"/>
          <w:szCs w:val="32"/>
          <w:lang w:eastAsia="zh-CN"/>
        </w:rPr>
        <w:t>按评分标准扣6.8分</w:t>
      </w:r>
      <w:r>
        <w:rPr>
          <w:rFonts w:hint="eastAsia" w:ascii="仿宋" w:hAnsi="仿宋" w:eastAsia="仿宋" w:cs="宋体"/>
          <w:sz w:val="32"/>
          <w:szCs w:val="32"/>
          <w:lang w:eastAsia="zh-CN"/>
        </w:rPr>
        <w:t>。</w:t>
      </w:r>
    </w:p>
    <w:p>
      <w:pPr>
        <w:autoSpaceDE w:val="0"/>
        <w:autoSpaceDN w:val="0"/>
        <w:spacing w:line="580" w:lineRule="exact"/>
        <w:ind w:left="640"/>
        <w:jc w:val="both"/>
        <w:rPr>
          <w:rFonts w:ascii="黑体" w:hAnsi="黑体" w:eastAsia="黑体" w:cs="宋体"/>
          <w:sz w:val="32"/>
          <w:szCs w:val="32"/>
          <w:lang w:eastAsia="zh-CN"/>
        </w:rPr>
      </w:pPr>
      <w:r>
        <w:rPr>
          <w:rFonts w:ascii="黑体" w:hAnsi="黑体" w:eastAsia="黑体" w:cs="宋体"/>
          <w:kern w:val="2"/>
          <w:sz w:val="32"/>
          <w:lang w:eastAsia="zh-CN"/>
        </w:rPr>
        <w:t>三、</w:t>
      </w:r>
      <w:r>
        <w:rPr>
          <w:rFonts w:hint="eastAsia" w:ascii="黑体" w:hAnsi="黑体" w:eastAsia="黑体" w:cs="宋体"/>
          <w:kern w:val="2"/>
          <w:sz w:val="32"/>
          <w:lang w:eastAsia="zh-CN"/>
        </w:rPr>
        <w:t>存在问题及改进建议</w:t>
      </w:r>
    </w:p>
    <w:p>
      <w:pPr>
        <w:autoSpaceDE w:val="0"/>
        <w:autoSpaceDN w:val="0"/>
        <w:spacing w:before="120" w:beforeLines="50" w:after="120" w:afterLines="50" w:line="580" w:lineRule="exact"/>
        <w:ind w:firstLine="640" w:firstLineChars="200"/>
        <w:rPr>
          <w:rFonts w:hint="eastAsia" w:ascii="楷体" w:hAnsi="楷体" w:eastAsia="楷体" w:cs="宋体"/>
          <w:kern w:val="2"/>
          <w:sz w:val="32"/>
          <w:szCs w:val="32"/>
          <w:lang w:eastAsia="zh-CN"/>
        </w:rPr>
      </w:pPr>
      <w:r>
        <w:rPr>
          <w:rFonts w:hint="eastAsia" w:ascii="仿宋" w:hAnsi="仿宋" w:eastAsia="仿宋" w:cs="宋体"/>
          <w:kern w:val="2"/>
          <w:sz w:val="32"/>
          <w:szCs w:val="32"/>
          <w:lang w:eastAsia="zh-CN"/>
        </w:rPr>
        <w:t>1. 产出成本指标“成本控制率”目标值“100%”较为笼统。建议明确考核的成本是工程总成本还是单位面积成本，明确指标的计算依据方式。</w:t>
      </w:r>
    </w:p>
    <w:p>
      <w:pPr>
        <w:autoSpaceDE w:val="0"/>
        <w:autoSpaceDN w:val="0"/>
        <w:spacing w:before="120" w:beforeLines="50" w:after="120" w:afterLines="50" w:line="580" w:lineRule="exact"/>
        <w:ind w:firstLine="640" w:firstLineChars="200"/>
        <w:rPr>
          <w:rFonts w:hint="eastAsia" w:ascii="仿宋" w:hAnsi="仿宋" w:eastAsia="仿宋" w:cs="宋体"/>
          <w:kern w:val="2"/>
          <w:sz w:val="32"/>
          <w:szCs w:val="32"/>
          <w:lang w:eastAsia="zh-CN"/>
        </w:rPr>
      </w:pPr>
      <w:r>
        <w:rPr>
          <w:rFonts w:hint="eastAsia" w:ascii="仿宋" w:hAnsi="仿宋" w:eastAsia="仿宋" w:cs="宋体"/>
          <w:kern w:val="2"/>
          <w:sz w:val="32"/>
          <w:szCs w:val="32"/>
          <w:lang w:eastAsia="zh-CN"/>
        </w:rPr>
        <w:t>2. 产出数量指标“完成招标”目标值“100%”较为笼统。建议明确完成招标数量及招标内容，确保绩效指标可衡量。</w:t>
      </w:r>
    </w:p>
    <w:p>
      <w:pPr>
        <w:autoSpaceDE w:val="0"/>
        <w:autoSpaceDN w:val="0"/>
        <w:spacing w:before="120" w:beforeLines="50" w:after="120" w:afterLines="50" w:line="580" w:lineRule="exact"/>
        <w:ind w:firstLine="640" w:firstLineChars="200"/>
        <w:rPr>
          <w:rFonts w:hint="eastAsia" w:ascii="仿宋" w:hAnsi="仿宋" w:eastAsia="仿宋" w:cs="宋体"/>
          <w:kern w:val="2"/>
          <w:sz w:val="32"/>
          <w:szCs w:val="32"/>
          <w:lang w:eastAsia="zh-CN"/>
        </w:rPr>
      </w:pPr>
      <w:r>
        <w:rPr>
          <w:rFonts w:hint="eastAsia" w:ascii="仿宋" w:hAnsi="仿宋" w:eastAsia="仿宋" w:cs="宋体"/>
          <w:kern w:val="2"/>
          <w:sz w:val="32"/>
          <w:szCs w:val="32"/>
          <w:lang w:eastAsia="zh-CN"/>
        </w:rPr>
        <w:t>3. 建议根据年度工作任务和工程进度设置相关指标，如年度工程产值金额（项目完工量）、施工质量安全整改率等。</w:t>
      </w:r>
    </w:p>
    <w:p>
      <w:pPr>
        <w:autoSpaceDE w:val="0"/>
        <w:autoSpaceDN w:val="0"/>
        <w:spacing w:before="120" w:beforeLines="50" w:after="120" w:afterLines="50" w:line="580" w:lineRule="exact"/>
        <w:ind w:firstLine="640" w:firstLineChars="200"/>
        <w:rPr>
          <w:rFonts w:ascii="仿宋" w:hAnsi="仿宋" w:eastAsia="仿宋" w:cs="宋体"/>
          <w:kern w:val="2"/>
          <w:sz w:val="32"/>
          <w:szCs w:val="32"/>
          <w:lang w:eastAsia="zh-CN"/>
        </w:rPr>
      </w:pPr>
      <w:r>
        <w:rPr>
          <w:rFonts w:hint="eastAsia" w:ascii="仿宋" w:hAnsi="仿宋" w:eastAsia="仿宋" w:cs="宋体"/>
          <w:kern w:val="2"/>
          <w:sz w:val="32"/>
          <w:szCs w:val="32"/>
          <w:lang w:eastAsia="zh-CN"/>
        </w:rPr>
        <w:t>4. 满意度指标方面。本项目仅调查2家参建单位，调查对象样本量较小。建议在调查方案中确定调查范围，明确抽样数量或比例，抽样数量占调查范围总量不宜过少，样本量最低不低于30份，若总体样本低于30份，应全部进行满意度调查，并做好问卷回收及结果分析工作。</w:t>
      </w:r>
    </w:p>
    <w:p>
      <w:pPr>
        <w:pStyle w:val="16"/>
        <w:spacing w:line="580" w:lineRule="exact"/>
        <w:ind w:left="320" w:firstLine="640" w:firstLineChars="200"/>
        <w:jc w:val="both"/>
        <w:rPr>
          <w:rFonts w:ascii="仿宋" w:hAnsi="仿宋" w:eastAsia="仿宋" w:cs="宋体"/>
          <w:kern w:val="2"/>
          <w:sz w:val="32"/>
          <w:szCs w:val="32"/>
          <w:lang w:eastAsia="zh-CN"/>
        </w:rPr>
      </w:pPr>
    </w:p>
    <w:sectPr>
      <w:footerReference r:id="rId3" w:type="default"/>
      <w:type w:val="continuous"/>
      <w:pgSz w:w="11910" w:h="16840"/>
      <w:pgMar w:top="2041" w:right="1559" w:bottom="2007" w:left="1630" w:header="851" w:footer="153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0000000000000000000"/>
    <w:charset w:val="86"/>
    <w:family w:val="swiss"/>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A7AA45"/>
    <w:multiLevelType w:val="singleLevel"/>
    <w:tmpl w:val="26A7AA4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yMGIyNWIxZjg4OTA0ZjAyODhhOWVlNzkzODg3MjUifQ=="/>
  </w:docVars>
  <w:rsids>
    <w:rsidRoot w:val="006A0286"/>
    <w:rsid w:val="0000186F"/>
    <w:rsid w:val="00027842"/>
    <w:rsid w:val="000F0010"/>
    <w:rsid w:val="001076FD"/>
    <w:rsid w:val="00112A3C"/>
    <w:rsid w:val="0012335B"/>
    <w:rsid w:val="001D43CE"/>
    <w:rsid w:val="001E1F08"/>
    <w:rsid w:val="001F5652"/>
    <w:rsid w:val="002034C4"/>
    <w:rsid w:val="00223670"/>
    <w:rsid w:val="002F39B9"/>
    <w:rsid w:val="00304D0F"/>
    <w:rsid w:val="00317F35"/>
    <w:rsid w:val="003C4144"/>
    <w:rsid w:val="003D4D43"/>
    <w:rsid w:val="00412A90"/>
    <w:rsid w:val="00427AA3"/>
    <w:rsid w:val="00453872"/>
    <w:rsid w:val="00485FCA"/>
    <w:rsid w:val="00496584"/>
    <w:rsid w:val="004B1555"/>
    <w:rsid w:val="004E3E98"/>
    <w:rsid w:val="004F2889"/>
    <w:rsid w:val="00541FD2"/>
    <w:rsid w:val="0055497B"/>
    <w:rsid w:val="0057691A"/>
    <w:rsid w:val="0058181F"/>
    <w:rsid w:val="005C5968"/>
    <w:rsid w:val="005D094F"/>
    <w:rsid w:val="005D61F8"/>
    <w:rsid w:val="006032DC"/>
    <w:rsid w:val="006A0286"/>
    <w:rsid w:val="006C2695"/>
    <w:rsid w:val="006D7977"/>
    <w:rsid w:val="006F1257"/>
    <w:rsid w:val="006F21E4"/>
    <w:rsid w:val="006F2AB8"/>
    <w:rsid w:val="00705B52"/>
    <w:rsid w:val="00720C56"/>
    <w:rsid w:val="0072674E"/>
    <w:rsid w:val="007416BA"/>
    <w:rsid w:val="0075652D"/>
    <w:rsid w:val="00784065"/>
    <w:rsid w:val="007A754E"/>
    <w:rsid w:val="00830C91"/>
    <w:rsid w:val="0085065B"/>
    <w:rsid w:val="0089585D"/>
    <w:rsid w:val="008C735A"/>
    <w:rsid w:val="008D18B3"/>
    <w:rsid w:val="008D7527"/>
    <w:rsid w:val="008F6FC9"/>
    <w:rsid w:val="009076DF"/>
    <w:rsid w:val="009139E8"/>
    <w:rsid w:val="00926E98"/>
    <w:rsid w:val="0095504B"/>
    <w:rsid w:val="009751FF"/>
    <w:rsid w:val="009B2D68"/>
    <w:rsid w:val="009E2EAC"/>
    <w:rsid w:val="00A14DE2"/>
    <w:rsid w:val="00A72387"/>
    <w:rsid w:val="00A863A2"/>
    <w:rsid w:val="00AA24DC"/>
    <w:rsid w:val="00AC69E3"/>
    <w:rsid w:val="00B14C89"/>
    <w:rsid w:val="00B33955"/>
    <w:rsid w:val="00B8412B"/>
    <w:rsid w:val="00BD1F01"/>
    <w:rsid w:val="00CB64D3"/>
    <w:rsid w:val="00CE0695"/>
    <w:rsid w:val="00D20830"/>
    <w:rsid w:val="00D71C46"/>
    <w:rsid w:val="00D855DD"/>
    <w:rsid w:val="00D85F96"/>
    <w:rsid w:val="00DC4E75"/>
    <w:rsid w:val="00DE067D"/>
    <w:rsid w:val="00DF053C"/>
    <w:rsid w:val="00E1011A"/>
    <w:rsid w:val="00E70A55"/>
    <w:rsid w:val="00EB03FD"/>
    <w:rsid w:val="00ED06B2"/>
    <w:rsid w:val="00EF65E3"/>
    <w:rsid w:val="00F0581C"/>
    <w:rsid w:val="00F161C4"/>
    <w:rsid w:val="00F35A70"/>
    <w:rsid w:val="00F4202D"/>
    <w:rsid w:val="00FB5E7E"/>
    <w:rsid w:val="00FC405A"/>
    <w:rsid w:val="00FC7877"/>
    <w:rsid w:val="00FF484D"/>
    <w:rsid w:val="013167DB"/>
    <w:rsid w:val="03B82B2E"/>
    <w:rsid w:val="05FA65A2"/>
    <w:rsid w:val="06A73855"/>
    <w:rsid w:val="06E93094"/>
    <w:rsid w:val="07464042"/>
    <w:rsid w:val="076072C9"/>
    <w:rsid w:val="083956B1"/>
    <w:rsid w:val="08EC001B"/>
    <w:rsid w:val="0923654E"/>
    <w:rsid w:val="092959CA"/>
    <w:rsid w:val="0C675005"/>
    <w:rsid w:val="0D0D7157"/>
    <w:rsid w:val="0F0F11BE"/>
    <w:rsid w:val="10EB04E8"/>
    <w:rsid w:val="13A42D64"/>
    <w:rsid w:val="154806C3"/>
    <w:rsid w:val="16B94831"/>
    <w:rsid w:val="17205F01"/>
    <w:rsid w:val="17553F8A"/>
    <w:rsid w:val="17CB4F24"/>
    <w:rsid w:val="198F7ACB"/>
    <w:rsid w:val="1E650DFA"/>
    <w:rsid w:val="1E820A8F"/>
    <w:rsid w:val="1EC728FE"/>
    <w:rsid w:val="1EEE53EA"/>
    <w:rsid w:val="1F95191A"/>
    <w:rsid w:val="1FD55B0C"/>
    <w:rsid w:val="20566C4C"/>
    <w:rsid w:val="216B3E44"/>
    <w:rsid w:val="234027B7"/>
    <w:rsid w:val="23446677"/>
    <w:rsid w:val="23C9451A"/>
    <w:rsid w:val="24D80E54"/>
    <w:rsid w:val="25C96113"/>
    <w:rsid w:val="279369D8"/>
    <w:rsid w:val="27E6053F"/>
    <w:rsid w:val="29824F56"/>
    <w:rsid w:val="29CA4207"/>
    <w:rsid w:val="2AC666C8"/>
    <w:rsid w:val="2C02295D"/>
    <w:rsid w:val="2C1C76CA"/>
    <w:rsid w:val="2C913354"/>
    <w:rsid w:val="2D135DF7"/>
    <w:rsid w:val="2F01353B"/>
    <w:rsid w:val="300A35B0"/>
    <w:rsid w:val="300D0104"/>
    <w:rsid w:val="304D4555"/>
    <w:rsid w:val="30E24EAD"/>
    <w:rsid w:val="31AF67F6"/>
    <w:rsid w:val="322E42AD"/>
    <w:rsid w:val="323D70D2"/>
    <w:rsid w:val="327876EE"/>
    <w:rsid w:val="327A2C6E"/>
    <w:rsid w:val="32B83797"/>
    <w:rsid w:val="32F43276"/>
    <w:rsid w:val="331217FF"/>
    <w:rsid w:val="3350577D"/>
    <w:rsid w:val="337663FE"/>
    <w:rsid w:val="33E22740"/>
    <w:rsid w:val="35AD2BFB"/>
    <w:rsid w:val="38F34EC5"/>
    <w:rsid w:val="396911FB"/>
    <w:rsid w:val="39CE1AF2"/>
    <w:rsid w:val="3A1A4D37"/>
    <w:rsid w:val="3B6D1762"/>
    <w:rsid w:val="3C711111"/>
    <w:rsid w:val="3C9B3F0D"/>
    <w:rsid w:val="3D2F0AF9"/>
    <w:rsid w:val="3D627C22"/>
    <w:rsid w:val="3DED2A19"/>
    <w:rsid w:val="3F774742"/>
    <w:rsid w:val="40EF2A79"/>
    <w:rsid w:val="418559EE"/>
    <w:rsid w:val="43E52A81"/>
    <w:rsid w:val="4670640B"/>
    <w:rsid w:val="47844C36"/>
    <w:rsid w:val="47A479CC"/>
    <w:rsid w:val="483416BA"/>
    <w:rsid w:val="48825F81"/>
    <w:rsid w:val="4BFA4055"/>
    <w:rsid w:val="4C5B5467"/>
    <w:rsid w:val="4CE22604"/>
    <w:rsid w:val="4D8206D0"/>
    <w:rsid w:val="4D834C75"/>
    <w:rsid w:val="4D9A1FBF"/>
    <w:rsid w:val="4E9C0BC5"/>
    <w:rsid w:val="4EFA1FD6"/>
    <w:rsid w:val="4EFE5D8C"/>
    <w:rsid w:val="4F284E73"/>
    <w:rsid w:val="504C24BB"/>
    <w:rsid w:val="505E3E3F"/>
    <w:rsid w:val="50EB48F5"/>
    <w:rsid w:val="51172E15"/>
    <w:rsid w:val="52B551A5"/>
    <w:rsid w:val="534D53DE"/>
    <w:rsid w:val="5410177E"/>
    <w:rsid w:val="54931516"/>
    <w:rsid w:val="55D122F6"/>
    <w:rsid w:val="5765363E"/>
    <w:rsid w:val="57746DAC"/>
    <w:rsid w:val="58853CC6"/>
    <w:rsid w:val="58BC07AC"/>
    <w:rsid w:val="59C02DAD"/>
    <w:rsid w:val="59F842F5"/>
    <w:rsid w:val="5C1C6C2B"/>
    <w:rsid w:val="5C4E1BEB"/>
    <w:rsid w:val="5CD15622"/>
    <w:rsid w:val="5D6A375C"/>
    <w:rsid w:val="5E135BA1"/>
    <w:rsid w:val="5E387006"/>
    <w:rsid w:val="5E860858"/>
    <w:rsid w:val="5E8C6516"/>
    <w:rsid w:val="5E974DDA"/>
    <w:rsid w:val="5FEB2BA4"/>
    <w:rsid w:val="603159B3"/>
    <w:rsid w:val="60D1421F"/>
    <w:rsid w:val="60FA1942"/>
    <w:rsid w:val="6286459E"/>
    <w:rsid w:val="62FF4946"/>
    <w:rsid w:val="632C266E"/>
    <w:rsid w:val="63CC1360"/>
    <w:rsid w:val="64E36803"/>
    <w:rsid w:val="65CD3688"/>
    <w:rsid w:val="67AF33CD"/>
    <w:rsid w:val="697E527C"/>
    <w:rsid w:val="69F33097"/>
    <w:rsid w:val="6A047736"/>
    <w:rsid w:val="6B7C455F"/>
    <w:rsid w:val="6BCC55E2"/>
    <w:rsid w:val="6C3D1780"/>
    <w:rsid w:val="6C5A7A8C"/>
    <w:rsid w:val="6D74015C"/>
    <w:rsid w:val="6D802044"/>
    <w:rsid w:val="6D94212F"/>
    <w:rsid w:val="70B8495E"/>
    <w:rsid w:val="711F7F62"/>
    <w:rsid w:val="71353C29"/>
    <w:rsid w:val="728A1EFC"/>
    <w:rsid w:val="72A70ACB"/>
    <w:rsid w:val="736B49BF"/>
    <w:rsid w:val="753F3CA4"/>
    <w:rsid w:val="756B5E6B"/>
    <w:rsid w:val="75E579CC"/>
    <w:rsid w:val="768515E3"/>
    <w:rsid w:val="77075720"/>
    <w:rsid w:val="777E28EC"/>
    <w:rsid w:val="78696D0E"/>
    <w:rsid w:val="7877401B"/>
    <w:rsid w:val="7A24483B"/>
    <w:rsid w:val="7C7575D0"/>
    <w:rsid w:val="7C830F7C"/>
    <w:rsid w:val="7DC437A1"/>
    <w:rsid w:val="7FA10E88"/>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qFormat/>
    <w:uiPriority w:val="1"/>
    <w:pPr>
      <w:ind w:left="100"/>
      <w:outlineLvl w:val="0"/>
    </w:pPr>
    <w:rPr>
      <w:rFonts w:ascii="宋体" w:hAnsi="宋体" w:eastAsia="宋体"/>
      <w:sz w:val="36"/>
      <w:szCs w:val="36"/>
    </w:rPr>
  </w:style>
  <w:style w:type="paragraph" w:styleId="4">
    <w:name w:val="heading 2"/>
    <w:basedOn w:val="1"/>
    <w:next w:val="1"/>
    <w:autoRedefine/>
    <w:qFormat/>
    <w:uiPriority w:val="1"/>
    <w:pPr>
      <w:ind w:left="-21" w:firstLine="2592"/>
      <w:outlineLvl w:val="1"/>
    </w:pPr>
    <w:rPr>
      <w:rFonts w:ascii="宋体" w:hAnsi="宋体" w:eastAsia="宋体"/>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ind w:firstLine="200"/>
      <w:jc w:val="both"/>
    </w:pPr>
    <w:rPr>
      <w:rFonts w:ascii="宋体" w:hAnsi="Times New Roman" w:eastAsia="宋体" w:cs="Times New Roman"/>
      <w:sz w:val="21"/>
      <w:szCs w:val="22"/>
      <w:lang w:val="en-US" w:eastAsia="zh-CN" w:bidi="ar-SA"/>
    </w:rPr>
  </w:style>
  <w:style w:type="paragraph" w:styleId="5">
    <w:name w:val="annotation text"/>
    <w:basedOn w:val="1"/>
    <w:autoRedefine/>
    <w:semiHidden/>
    <w:unhideWhenUsed/>
    <w:qFormat/>
    <w:uiPriority w:val="99"/>
  </w:style>
  <w:style w:type="paragraph" w:styleId="6">
    <w:name w:val="Body Text"/>
    <w:basedOn w:val="1"/>
    <w:autoRedefine/>
    <w:qFormat/>
    <w:uiPriority w:val="1"/>
    <w:pPr>
      <w:spacing w:before="207"/>
      <w:ind w:left="120"/>
    </w:pPr>
    <w:rPr>
      <w:rFonts w:ascii="宋体" w:hAnsi="宋体" w:eastAsia="宋体"/>
      <w:sz w:val="30"/>
      <w:szCs w:val="30"/>
    </w:rPr>
  </w:style>
  <w:style w:type="paragraph" w:styleId="7">
    <w:name w:val="footer"/>
    <w:basedOn w:val="1"/>
    <w:link w:val="20"/>
    <w:autoRedefine/>
    <w:unhideWhenUsed/>
    <w:qFormat/>
    <w:uiPriority w:val="99"/>
    <w:pPr>
      <w:tabs>
        <w:tab w:val="center" w:pos="4153"/>
        <w:tab w:val="right" w:pos="8306"/>
      </w:tabs>
      <w:snapToGrid w:val="0"/>
    </w:pPr>
    <w:rPr>
      <w:sz w:val="18"/>
      <w:szCs w:val="18"/>
    </w:rPr>
  </w:style>
  <w:style w:type="paragraph" w:styleId="8">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2"/>
    <w:qFormat/>
    <w:uiPriority w:val="0"/>
    <w:pPr>
      <w:ind w:firstLine="200" w:firstLineChars="200"/>
      <w:outlineLvl w:val="2"/>
    </w:pPr>
    <w:rPr>
      <w:rFonts w:ascii="Cambria" w:hAnsi="Cambria" w:eastAsia="黑体" w:cs="Times New Roman"/>
      <w:bCs/>
      <w:kern w:val="28"/>
      <w:sz w:val="28"/>
      <w:szCs w:val="32"/>
      <w:lang w:eastAsia="zh-CN"/>
    </w:rPr>
  </w:style>
  <w:style w:type="paragraph" w:styleId="10">
    <w:name w:val="footnote text"/>
    <w:basedOn w:val="1"/>
    <w:autoRedefine/>
    <w:semiHidden/>
    <w:unhideWhenUsed/>
    <w:qFormat/>
    <w:uiPriority w:val="99"/>
    <w:pPr>
      <w:snapToGrid w:val="0"/>
    </w:pPr>
    <w:rPr>
      <w:sz w:val="18"/>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otnote reference"/>
    <w:basedOn w:val="13"/>
    <w:autoRedefine/>
    <w:semiHidden/>
    <w:unhideWhenUsed/>
    <w:qFormat/>
    <w:uiPriority w:val="99"/>
    <w:rPr>
      <w:vertAlign w:val="superscript"/>
    </w:rPr>
  </w:style>
  <w:style w:type="table" w:customStyle="1" w:styleId="15">
    <w:name w:val="Table Normal"/>
    <w:autoRedefine/>
    <w:semiHidden/>
    <w:unhideWhenUsed/>
    <w:qFormat/>
    <w:uiPriority w:val="2"/>
    <w:tblPr>
      <w:tblCellMar>
        <w:top w:w="0" w:type="dxa"/>
        <w:left w:w="0" w:type="dxa"/>
        <w:bottom w:w="0" w:type="dxa"/>
        <w:right w:w="0" w:type="dxa"/>
      </w:tblCellMar>
    </w:tblPr>
  </w:style>
  <w:style w:type="paragraph" w:styleId="16">
    <w:name w:val="List Paragraph"/>
    <w:basedOn w:val="1"/>
    <w:autoRedefine/>
    <w:qFormat/>
    <w:uiPriority w:val="1"/>
  </w:style>
  <w:style w:type="paragraph" w:customStyle="1" w:styleId="17">
    <w:name w:val="Table Paragraph"/>
    <w:basedOn w:val="1"/>
    <w:autoRedefine/>
    <w:qFormat/>
    <w:uiPriority w:val="1"/>
  </w:style>
  <w:style w:type="paragraph" w:customStyle="1" w:styleId="18">
    <w:name w:val="Default"/>
    <w:autoRedefine/>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9">
    <w:name w:val="页眉 字符"/>
    <w:basedOn w:val="13"/>
    <w:link w:val="8"/>
    <w:autoRedefine/>
    <w:qFormat/>
    <w:uiPriority w:val="99"/>
    <w:rPr>
      <w:sz w:val="18"/>
      <w:szCs w:val="18"/>
    </w:rPr>
  </w:style>
  <w:style w:type="character" w:customStyle="1" w:styleId="20">
    <w:name w:val="页脚 字符"/>
    <w:basedOn w:val="13"/>
    <w:link w:val="7"/>
    <w:autoRedefine/>
    <w:qFormat/>
    <w:uiPriority w:val="99"/>
    <w:rPr>
      <w:sz w:val="18"/>
      <w:szCs w:val="18"/>
    </w:rPr>
  </w:style>
  <w:style w:type="paragraph" w:customStyle="1" w:styleId="21">
    <w:name w:val="正文-闻政"/>
    <w:next w:val="1"/>
    <w:autoRedefine/>
    <w:qFormat/>
    <w:uiPriority w:val="0"/>
    <w:pPr>
      <w:spacing w:line="360" w:lineRule="auto"/>
      <w:ind w:firstLine="668" w:firstLineChars="200"/>
    </w:pPr>
    <w:rPr>
      <w:rFonts w:ascii="楷体" w:hAnsi="楷体" w:eastAsia="楷体" w:cs="仿宋"/>
      <w:spacing w:val="14"/>
      <w:kern w:val="2"/>
      <w:sz w:val="32"/>
      <w:szCs w:val="32"/>
      <w:lang w:val="en-US" w:eastAsia="zh-CN" w:bidi="ar-SA"/>
    </w:rPr>
  </w:style>
  <w:style w:type="character" w:customStyle="1" w:styleId="22">
    <w:name w:val="副标题 字符"/>
    <w:basedOn w:val="13"/>
    <w:link w:val="9"/>
    <w:uiPriority w:val="0"/>
    <w:rPr>
      <w:rFonts w:ascii="Cambria" w:hAnsi="Cambria" w:eastAsia="黑体"/>
      <w:bCs/>
      <w:kern w:val="28"/>
      <w:sz w:val="28"/>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1256</Words>
  <Characters>1381</Characters>
  <Lines>10</Lines>
  <Paragraphs>2</Paragraphs>
  <TotalTime>71</TotalTime>
  <ScaleCrop>false</ScaleCrop>
  <LinksUpToDate>false</LinksUpToDate>
  <CharactersWithSpaces>1395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2021-08-19T09:37:00Z</dcterms:created>
  <dc:creator>张肖军(拟稿)</dc:creator>
  <cp:lastModifiedBy>雲</cp:lastModifiedBy>
  <dcterms:modified xsi:type="dcterms:W3CDTF">2024-06-18T14:32:48Z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2052-12.1.0.16929</vt:lpwstr>
  </property>
  <property fmtid="{D5CDD505-2E9C-101B-9397-08002B2CF9AE}" pid="6" name="ICV">
    <vt:lpwstr>6110B7415DC740C58185CD86345CBEB1</vt:lpwstr>
  </property>
</Properties>
</file>