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 w:hAnsi="仿宋" w:eastAsia="仿宋" w:cs="宋体"/>
          <w:sz w:val="44"/>
          <w:szCs w:val="44"/>
          <w:lang w:eastAsia="zh-CN"/>
        </w:rPr>
      </w:pPr>
      <w:r>
        <w:rPr>
          <w:rFonts w:hint="eastAsia" w:ascii="仿宋" w:hAnsi="仿宋" w:eastAsia="仿宋"/>
          <w:sz w:val="44"/>
          <w:szCs w:val="44"/>
          <w:lang w:eastAsia="zh-CN"/>
        </w:rPr>
        <w:t>江苏省政府专项债券项目绩效自评价报告</w:t>
      </w:r>
    </w:p>
    <w:p>
      <w:pPr>
        <w:spacing w:line="580" w:lineRule="exact"/>
        <w:jc w:val="center"/>
        <w:rPr>
          <w:rFonts w:ascii="仿宋" w:hAnsi="仿宋" w:eastAsia="仿宋"/>
          <w:sz w:val="32"/>
          <w:szCs w:val="32"/>
          <w:lang w:eastAsia="zh-CN"/>
        </w:rPr>
      </w:pPr>
      <w:r>
        <w:rPr>
          <w:rFonts w:hint="eastAsia" w:ascii="仿宋" w:hAnsi="仿宋" w:eastAsia="仿宋"/>
          <w:sz w:val="32"/>
          <w:szCs w:val="32"/>
          <w:lang w:eastAsia="zh-CN"/>
        </w:rPr>
        <w:t>（苏州高新区科技生态功能片区高标准农田建</w:t>
      </w:r>
      <w:bookmarkStart w:id="1" w:name="_GoBack"/>
      <w:bookmarkEnd w:id="1"/>
      <w:r>
        <w:rPr>
          <w:rFonts w:hint="eastAsia" w:ascii="仿宋" w:hAnsi="仿宋" w:eastAsia="仿宋"/>
          <w:sz w:val="32"/>
          <w:szCs w:val="32"/>
          <w:lang w:eastAsia="zh-CN"/>
        </w:rPr>
        <w:t>设项目）</w:t>
      </w:r>
    </w:p>
    <w:p>
      <w:pPr>
        <w:spacing w:line="580" w:lineRule="exact"/>
        <w:ind w:firstLine="640" w:firstLineChars="200"/>
        <w:jc w:val="both"/>
        <w:rPr>
          <w:rFonts w:ascii="仿宋" w:hAnsi="仿宋" w:eastAsia="仿宋"/>
          <w:sz w:val="32"/>
          <w:szCs w:val="32"/>
          <w:lang w:eastAsia="zh-CN"/>
        </w:rPr>
      </w:pPr>
    </w:p>
    <w:p>
      <w:pPr>
        <w:spacing w:line="580" w:lineRule="exact"/>
        <w:ind w:firstLine="640" w:firstLineChars="200"/>
        <w:jc w:val="both"/>
        <w:rPr>
          <w:rFonts w:ascii="黑体" w:hAnsi="黑体" w:eastAsia="黑体" w:cs="仿宋"/>
          <w:sz w:val="32"/>
          <w:szCs w:val="32"/>
          <w:lang w:eastAsia="zh-CN"/>
        </w:rPr>
      </w:pPr>
      <w:r>
        <w:rPr>
          <w:rFonts w:hint="eastAsia" w:ascii="黑体" w:hAnsi="黑体" w:eastAsia="黑体" w:cs="仿宋"/>
          <w:sz w:val="32"/>
          <w:szCs w:val="32"/>
          <w:lang w:eastAsia="zh-CN"/>
        </w:rPr>
        <w:t>一、项目情况</w:t>
      </w:r>
    </w:p>
    <w:p>
      <w:pPr>
        <w:spacing w:line="580" w:lineRule="exact"/>
        <w:ind w:firstLine="624" w:firstLineChars="200"/>
        <w:jc w:val="both"/>
        <w:rPr>
          <w:rFonts w:ascii="楷体" w:hAnsi="楷体" w:eastAsia="楷体" w:cs="仿宋"/>
          <w:spacing w:val="-4"/>
          <w:sz w:val="32"/>
          <w:szCs w:val="32"/>
          <w:lang w:eastAsia="zh-CN"/>
        </w:rPr>
      </w:pPr>
      <w:r>
        <w:rPr>
          <w:rFonts w:hint="eastAsia" w:ascii="楷体" w:hAnsi="楷体" w:eastAsia="楷体" w:cs="仿宋"/>
          <w:spacing w:val="-4"/>
          <w:sz w:val="32"/>
          <w:szCs w:val="32"/>
          <w:lang w:eastAsia="zh-CN"/>
        </w:rPr>
        <w:t>（一）项目概况</w:t>
      </w:r>
    </w:p>
    <w:p>
      <w:pPr>
        <w:spacing w:line="580" w:lineRule="exact"/>
        <w:ind w:firstLine="627" w:firstLineChars="200"/>
        <w:jc w:val="both"/>
        <w:rPr>
          <w:rFonts w:ascii="仿宋" w:hAnsi="仿宋" w:eastAsia="仿宋" w:cs="仿宋"/>
          <w:sz w:val="32"/>
          <w:szCs w:val="32"/>
          <w:lang w:eastAsia="zh-CN"/>
        </w:rPr>
      </w:pPr>
      <w:r>
        <w:rPr>
          <w:rFonts w:hint="eastAsia" w:ascii="仿宋" w:hAnsi="仿宋" w:eastAsia="仿宋" w:cs="仿宋"/>
          <w:b/>
          <w:bCs/>
          <w:spacing w:val="-4"/>
          <w:sz w:val="32"/>
          <w:szCs w:val="32"/>
          <w:lang w:eastAsia="zh-CN"/>
        </w:rPr>
        <w:t>1.项目背景</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依据《〈苏州市高标准农田改造提升示范区建设意见》、《苏州市现代农业园区转型升级实施意见〉》（苏市农田〔2021〕13号）和《关于开展灌排系统生态化改造推进生态农田建设试点的通知》（苏田便〔2021〕223号）等文件精神，结合苏州高新区（虎丘区）率先基本实现农业农村现代化暨特色康居乡村建设工作推进会议提出的工作要求，为进一步提升高标准农田建设质量，发挥农田系统的生态功能，促进现代农业高质量发展，加快实现农业农村现代化，苏州科技城决定开展高标准农田建设项目。</w:t>
      </w:r>
    </w:p>
    <w:p>
      <w:pPr>
        <w:spacing w:line="580" w:lineRule="exact"/>
        <w:ind w:firstLine="627" w:firstLineChars="200"/>
        <w:jc w:val="both"/>
        <w:rPr>
          <w:rFonts w:hint="eastAsia" w:ascii="仿宋" w:hAnsi="仿宋" w:eastAsia="仿宋" w:cs="仿宋"/>
          <w:sz w:val="32"/>
          <w:szCs w:val="32"/>
          <w:lang w:eastAsia="zh-CN"/>
        </w:rPr>
      </w:pPr>
      <w:r>
        <w:rPr>
          <w:rFonts w:hint="eastAsia" w:ascii="仿宋" w:hAnsi="仿宋" w:eastAsia="仿宋" w:cs="仿宋"/>
          <w:b/>
          <w:bCs/>
          <w:spacing w:val="-4"/>
          <w:sz w:val="32"/>
          <w:szCs w:val="32"/>
          <w:lang w:eastAsia="zh-CN"/>
        </w:rPr>
        <w:t>2.项目实施范围及实施规模</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项目位于苏州高新区通安镇东泾、街西、航船浜等5个村及东渚街道长巷村、黄区村。整个项目包括两个片区：</w:t>
      </w:r>
    </w:p>
    <w:p>
      <w:pPr>
        <w:spacing w:line="580" w:lineRule="exact"/>
        <w:ind w:firstLine="643" w:firstLineChars="200"/>
        <w:jc w:val="both"/>
        <w:rPr>
          <w:rFonts w:ascii="仿宋" w:hAnsi="仿宋" w:eastAsia="仿宋" w:cs="仿宋"/>
          <w:sz w:val="32"/>
          <w:szCs w:val="32"/>
          <w:lang w:eastAsia="zh-CN"/>
        </w:rPr>
      </w:pPr>
      <w:r>
        <w:rPr>
          <w:rFonts w:hint="eastAsia" w:ascii="仿宋" w:hAnsi="仿宋" w:eastAsia="仿宋" w:cs="仿宋"/>
          <w:b/>
          <w:bCs/>
          <w:sz w:val="32"/>
          <w:szCs w:val="32"/>
          <w:lang w:eastAsia="zh-CN"/>
        </w:rPr>
        <w:t>通安片区</w:t>
      </w:r>
      <w:r>
        <w:rPr>
          <w:rFonts w:hint="eastAsia" w:ascii="仿宋" w:hAnsi="仿宋" w:eastAsia="仿宋" w:cs="仿宋"/>
          <w:sz w:val="32"/>
          <w:szCs w:val="32"/>
          <w:lang w:eastAsia="zh-CN"/>
        </w:rPr>
        <w:t>（东泾村、金市村、庄前村、街西村、航船浜村）</w:t>
      </w:r>
      <w:r>
        <w:rPr>
          <w:rFonts w:hint="eastAsia" w:ascii="仿宋" w:hAnsi="仿宋" w:eastAsia="仿宋" w:cs="仿宋"/>
          <w:b/>
          <w:bCs/>
          <w:sz w:val="32"/>
          <w:szCs w:val="32"/>
          <w:lang w:eastAsia="zh-CN"/>
        </w:rPr>
        <w:t>：</w:t>
      </w:r>
      <w:r>
        <w:rPr>
          <w:rFonts w:hint="eastAsia" w:ascii="仿宋" w:hAnsi="仿宋" w:eastAsia="仿宋" w:cs="仿宋"/>
          <w:sz w:val="32"/>
          <w:szCs w:val="32"/>
          <w:lang w:eastAsia="zh-CN"/>
        </w:rPr>
        <w:t>项目拟实施高标准农田建设工程，建设规模5620 亩，建设内容主要水利措施、农业措施、田间道路工程、林业工程和其他措施等。</w:t>
      </w:r>
    </w:p>
    <w:p>
      <w:pPr>
        <w:spacing w:line="580" w:lineRule="exact"/>
        <w:ind w:firstLine="643" w:firstLineChars="200"/>
        <w:jc w:val="both"/>
        <w:rPr>
          <w:rFonts w:ascii="仿宋" w:hAnsi="仿宋" w:eastAsia="仿宋" w:cs="仿宋"/>
          <w:sz w:val="32"/>
          <w:szCs w:val="32"/>
          <w:lang w:eastAsia="zh-CN"/>
        </w:rPr>
      </w:pPr>
      <w:r>
        <w:rPr>
          <w:rFonts w:hint="eastAsia" w:ascii="仿宋" w:hAnsi="仿宋" w:eastAsia="仿宋" w:cs="仿宋"/>
          <w:b/>
          <w:bCs/>
          <w:sz w:val="32"/>
          <w:szCs w:val="32"/>
          <w:lang w:eastAsia="zh-CN"/>
        </w:rPr>
        <w:t>东渚片区</w:t>
      </w:r>
      <w:r>
        <w:rPr>
          <w:rFonts w:hint="eastAsia" w:ascii="仿宋" w:hAnsi="仿宋" w:eastAsia="仿宋" w:cs="仿宋"/>
          <w:sz w:val="32"/>
          <w:szCs w:val="32"/>
          <w:lang w:eastAsia="zh-CN"/>
        </w:rPr>
        <w:t>（长巷村、黄区村）</w:t>
      </w:r>
      <w:r>
        <w:rPr>
          <w:rFonts w:hint="eastAsia" w:ascii="仿宋" w:hAnsi="仿宋" w:eastAsia="仿宋" w:cs="仿宋"/>
          <w:b/>
          <w:bCs/>
          <w:sz w:val="32"/>
          <w:szCs w:val="32"/>
          <w:lang w:eastAsia="zh-CN"/>
        </w:rPr>
        <w:t>：</w:t>
      </w:r>
      <w:r>
        <w:rPr>
          <w:rFonts w:hint="eastAsia" w:ascii="仿宋" w:hAnsi="仿宋" w:eastAsia="仿宋" w:cs="仿宋"/>
          <w:sz w:val="32"/>
          <w:szCs w:val="32"/>
          <w:lang w:eastAsia="zh-CN"/>
        </w:rPr>
        <w:t>项目拟实施高标准农田建设工程，建设规模1009.93亩，建设内容主要水利措施、农业措施、田间道路工程、林业工程和其他措施等。</w:t>
      </w:r>
    </w:p>
    <w:p>
      <w:pPr>
        <w:spacing w:line="580" w:lineRule="exact"/>
        <w:ind w:firstLine="627" w:firstLineChars="200"/>
        <w:jc w:val="both"/>
        <w:rPr>
          <w:rFonts w:ascii="仿宋" w:hAnsi="仿宋" w:eastAsia="仿宋" w:cs="仿宋"/>
          <w:sz w:val="32"/>
          <w:szCs w:val="32"/>
          <w:lang w:eastAsia="zh-CN"/>
        </w:rPr>
      </w:pPr>
      <w:r>
        <w:rPr>
          <w:rFonts w:hint="eastAsia" w:ascii="仿宋" w:hAnsi="仿宋" w:eastAsia="仿宋" w:cs="仿宋"/>
          <w:b/>
          <w:bCs/>
          <w:spacing w:val="-4"/>
          <w:sz w:val="32"/>
          <w:szCs w:val="32"/>
          <w:lang w:eastAsia="zh-CN"/>
        </w:rPr>
        <w:t>3.项目实施方式</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本项目建设单位为苏州高新区通安镇农林服务中心，项目采取“代建制”，代建单位为苏州科技城城建发展有限公司。</w:t>
      </w:r>
    </w:p>
    <w:p>
      <w:pPr>
        <w:spacing w:line="580" w:lineRule="exact"/>
        <w:ind w:firstLine="627" w:firstLineChars="200"/>
        <w:jc w:val="both"/>
        <w:rPr>
          <w:rFonts w:ascii="仿宋" w:hAnsi="仿宋" w:eastAsia="仿宋" w:cs="仿宋"/>
          <w:b/>
          <w:bCs/>
          <w:spacing w:val="-4"/>
          <w:sz w:val="32"/>
          <w:szCs w:val="32"/>
          <w:lang w:eastAsia="zh-CN"/>
        </w:rPr>
      </w:pPr>
      <w:r>
        <w:rPr>
          <w:rFonts w:hint="eastAsia" w:ascii="仿宋" w:hAnsi="仿宋" w:eastAsia="仿宋" w:cs="仿宋"/>
          <w:b/>
          <w:bCs/>
          <w:spacing w:val="-4"/>
          <w:sz w:val="32"/>
          <w:szCs w:val="32"/>
          <w:lang w:eastAsia="zh-CN"/>
        </w:rPr>
        <w:t>4.项目建设期</w:t>
      </w:r>
    </w:p>
    <w:p>
      <w:pPr>
        <w:spacing w:line="580" w:lineRule="exact"/>
        <w:ind w:firstLine="624" w:firstLineChars="200"/>
        <w:jc w:val="both"/>
        <w:rPr>
          <w:rFonts w:ascii="仿宋" w:hAnsi="仿宋" w:eastAsia="仿宋" w:cs="仿宋"/>
          <w:spacing w:val="-4"/>
          <w:sz w:val="32"/>
          <w:szCs w:val="32"/>
          <w:lang w:eastAsia="zh-CN"/>
        </w:rPr>
      </w:pPr>
      <w:r>
        <w:rPr>
          <w:rFonts w:hint="eastAsia" w:ascii="仿宋" w:hAnsi="仿宋" w:eastAsia="仿宋" w:cs="仿宋"/>
          <w:spacing w:val="-4"/>
          <w:sz w:val="32"/>
          <w:szCs w:val="32"/>
          <w:lang w:eastAsia="zh-CN"/>
        </w:rPr>
        <w:t>计划开工期：2022年10月，预计竣工日期2023年10月（实际2023年8月竣工验收），项目建设期15个月。2023年为工程建设完工期。</w:t>
      </w:r>
    </w:p>
    <w:p>
      <w:pPr>
        <w:spacing w:line="580" w:lineRule="exact"/>
        <w:ind w:firstLine="627" w:firstLineChars="200"/>
        <w:jc w:val="both"/>
        <w:rPr>
          <w:rFonts w:ascii="仿宋" w:hAnsi="仿宋" w:eastAsia="仿宋" w:cs="仿宋"/>
          <w:sz w:val="32"/>
          <w:szCs w:val="32"/>
          <w:lang w:eastAsia="zh-CN"/>
        </w:rPr>
      </w:pPr>
      <w:r>
        <w:rPr>
          <w:rFonts w:hint="eastAsia" w:ascii="仿宋" w:hAnsi="仿宋" w:eastAsia="仿宋" w:cs="仿宋"/>
          <w:b/>
          <w:bCs/>
          <w:spacing w:val="-4"/>
          <w:sz w:val="32"/>
          <w:szCs w:val="32"/>
          <w:lang w:eastAsia="zh-CN"/>
        </w:rPr>
        <w:t>5.项目资金安排</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项目绩效目标申报总投资15,206万元，资金来源包括政府预算资金安排7,700万元，政府专项债券资金安排7,500万元，2023年实际申请江苏省政府专项债券5500万，累计已申请7500万元。</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截至2023年12月31日，当年申请的政府专项债资金5500万元已全部支付完毕，历年累计支出为7500万元。</w:t>
      </w:r>
    </w:p>
    <w:p>
      <w:pPr>
        <w:numPr>
          <w:ilvl w:val="0"/>
          <w:numId w:val="1"/>
        </w:numPr>
        <w:spacing w:line="580" w:lineRule="exact"/>
        <w:ind w:firstLine="624" w:firstLineChars="200"/>
        <w:jc w:val="both"/>
        <w:rPr>
          <w:rFonts w:ascii="楷体" w:hAnsi="楷体" w:eastAsia="楷体" w:cs="仿宋"/>
          <w:spacing w:val="-4"/>
          <w:sz w:val="32"/>
          <w:szCs w:val="32"/>
          <w:lang w:eastAsia="zh-CN"/>
        </w:rPr>
      </w:pPr>
      <w:r>
        <w:rPr>
          <w:rFonts w:hint="eastAsia" w:ascii="楷体" w:hAnsi="楷体" w:eastAsia="楷体" w:cs="仿宋"/>
          <w:spacing w:val="-4"/>
          <w:sz w:val="32"/>
          <w:szCs w:val="32"/>
          <w:lang w:eastAsia="zh-CN"/>
        </w:rPr>
        <w:t>绩效目标</w:t>
      </w:r>
    </w:p>
    <w:p>
      <w:pPr>
        <w:spacing w:line="580" w:lineRule="exact"/>
        <w:ind w:firstLine="643" w:firstLineChars="200"/>
        <w:jc w:val="both"/>
        <w:rPr>
          <w:rFonts w:ascii="仿宋" w:hAnsi="仿宋" w:eastAsia="仿宋" w:cs="仿宋"/>
          <w:b/>
          <w:bCs/>
          <w:sz w:val="32"/>
          <w:szCs w:val="32"/>
          <w:lang w:eastAsia="zh-CN"/>
        </w:rPr>
      </w:pPr>
      <w:r>
        <w:rPr>
          <w:rFonts w:hint="eastAsia" w:ascii="仿宋" w:hAnsi="仿宋" w:eastAsia="仿宋" w:cs="仿宋"/>
          <w:b/>
          <w:bCs/>
          <w:sz w:val="32"/>
          <w:szCs w:val="32"/>
          <w:lang w:eastAsia="zh-CN"/>
        </w:rPr>
        <w:t>1.项目总体目标</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（1）改善农业生产条件和生态环境，提高耕地质量，增加有效耕地面积，提高农田的抗灾能力。</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（2）提高生产力水平，通过技术培训，新技术、新品种的示范、推广，有利于提高农业劳动者素质，提高科技含量，将有利于向农业集约给经营转化。</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（3）加快社会主义新农村建设步伐，促进农业现代化建设，改善农村环境。</w:t>
      </w:r>
    </w:p>
    <w:p>
      <w:pPr>
        <w:spacing w:line="580" w:lineRule="exact"/>
        <w:ind w:firstLine="640" w:firstLineChars="200"/>
        <w:jc w:val="both"/>
        <w:rPr>
          <w:rFonts w:ascii="黑体" w:hAnsi="黑体" w:eastAsia="黑体" w:cs="仿宋"/>
          <w:sz w:val="32"/>
          <w:szCs w:val="32"/>
          <w:lang w:eastAsia="zh-CN"/>
        </w:rPr>
      </w:pPr>
      <w:r>
        <w:rPr>
          <w:rFonts w:hint="eastAsia" w:ascii="黑体" w:hAnsi="黑体" w:eastAsia="黑体" w:cs="仿宋"/>
          <w:sz w:val="32"/>
          <w:szCs w:val="32"/>
          <w:lang w:eastAsia="zh-CN"/>
        </w:rPr>
        <w:t>二、绩效评价结论</w:t>
      </w:r>
    </w:p>
    <w:p>
      <w:pPr>
        <w:spacing w:line="580" w:lineRule="exact"/>
        <w:ind w:firstLine="640" w:firstLineChars="200"/>
        <w:rPr>
          <w:rFonts w:ascii="仿宋" w:hAnsi="仿宋" w:eastAsia="仿宋" w:cs="宋体"/>
          <w:sz w:val="32"/>
          <w:szCs w:val="32"/>
          <w:lang w:eastAsia="zh-CN"/>
        </w:rPr>
      </w:pPr>
      <w:r>
        <w:rPr>
          <w:rFonts w:hint="eastAsia" w:ascii="仿宋" w:hAnsi="仿宋" w:eastAsia="仿宋" w:cs="宋体"/>
          <w:sz w:val="32"/>
          <w:szCs w:val="32"/>
          <w:lang w:eastAsia="zh-CN"/>
        </w:rPr>
        <w:t>苏州高新区科技生态功能片区高标准农田建设政府专项债券项目绩效评分为91.38分，等级为“优秀”。本次指标体系由四部分组成，具体结果如下:</w:t>
      </w:r>
    </w:p>
    <w:tbl>
      <w:tblPr>
        <w:tblStyle w:val="15"/>
        <w:tblW w:w="7861" w:type="dxa"/>
        <w:jc w:val="center"/>
        <w:tblLayout w:type="fixed"/>
        <w:tblCellMar>
          <w:top w:w="0" w:type="dxa"/>
          <w:left w:w="108" w:type="dxa"/>
          <w:bottom w:w="0" w:type="dxa"/>
          <w:right w:w="108" w:type="dxa"/>
        </w:tblCellMar>
      </w:tblPr>
      <w:tblGrid>
        <w:gridCol w:w="2796"/>
        <w:gridCol w:w="2409"/>
        <w:gridCol w:w="2656"/>
      </w:tblGrid>
      <w:tr>
        <w:tblPrEx>
          <w:tblCellMar>
            <w:top w:w="0" w:type="dxa"/>
            <w:left w:w="108" w:type="dxa"/>
            <w:bottom w:w="0" w:type="dxa"/>
            <w:right w:w="108" w:type="dxa"/>
          </w:tblCellMar>
        </w:tblPrEx>
        <w:trPr>
          <w:trHeight w:val="355" w:hRule="atLeast"/>
          <w:jc w:val="center"/>
        </w:trPr>
        <w:tc>
          <w:tcPr>
            <w:tcW w:w="2796"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widowControl/>
              <w:ind w:firstLine="560"/>
              <w:textAlignment w:val="center"/>
              <w:rPr>
                <w:rFonts w:ascii="仿宋" w:hAnsi="仿宋" w:eastAsia="仿宋" w:cs="仿宋"/>
                <w:color w:val="000000"/>
                <w:sz w:val="28"/>
                <w:szCs w:val="28"/>
              </w:rPr>
            </w:pPr>
            <w:bookmarkStart w:id="0" w:name="OLE_LINK1" w:colFirst="1" w:colLast="3"/>
            <w:r>
              <w:rPr>
                <w:rFonts w:hint="eastAsia" w:ascii="仿宋" w:hAnsi="仿宋" w:eastAsia="仿宋" w:cs="仿宋"/>
                <w:color w:val="000000"/>
                <w:sz w:val="28"/>
                <w:szCs w:val="28"/>
                <w:lang w:eastAsia="zh-CN" w:bidi="ar"/>
              </w:rPr>
              <w:t>一级指标</w:t>
            </w:r>
          </w:p>
        </w:tc>
        <w:tc>
          <w:tcPr>
            <w:tcW w:w="2409"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widowControl/>
              <w:ind w:firstLine="560"/>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权重</w:t>
            </w:r>
          </w:p>
        </w:tc>
        <w:tc>
          <w:tcPr>
            <w:tcW w:w="2656"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widowControl/>
              <w:ind w:firstLine="560"/>
              <w:jc w:val="center"/>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评分</w:t>
            </w:r>
          </w:p>
        </w:tc>
      </w:tr>
      <w:bookmarkEnd w:id="0"/>
      <w:tr>
        <w:tblPrEx>
          <w:tblCellMar>
            <w:top w:w="0" w:type="dxa"/>
            <w:left w:w="108" w:type="dxa"/>
            <w:bottom w:w="0" w:type="dxa"/>
            <w:right w:w="108" w:type="dxa"/>
          </w:tblCellMar>
        </w:tblPrEx>
        <w:trPr>
          <w:trHeight w:val="355" w:hRule="atLeast"/>
          <w:jc w:val="center"/>
        </w:trPr>
        <w:tc>
          <w:tcPr>
            <w:tcW w:w="2796" w:type="dxa"/>
            <w:tcBorders>
              <w:top w:val="single" w:color="000000" w:sz="4" w:space="0"/>
              <w:left w:val="single" w:color="000000" w:sz="4" w:space="0"/>
              <w:bottom w:val="single" w:color="000000" w:sz="4" w:space="0"/>
              <w:right w:val="single" w:color="000000" w:sz="4" w:space="0"/>
            </w:tcBorders>
            <w:vAlign w:val="center"/>
          </w:tcPr>
          <w:p>
            <w:pPr>
              <w:widowControl/>
              <w:ind w:firstLine="840" w:firstLineChars="300"/>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过程</w:t>
            </w:r>
          </w:p>
        </w:tc>
        <w:tc>
          <w:tcPr>
            <w:tcW w:w="2409"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30.00 </w:t>
            </w:r>
          </w:p>
        </w:tc>
        <w:tc>
          <w:tcPr>
            <w:tcW w:w="2656"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30.00 </w:t>
            </w:r>
          </w:p>
        </w:tc>
      </w:tr>
      <w:tr>
        <w:tblPrEx>
          <w:tblCellMar>
            <w:top w:w="0" w:type="dxa"/>
            <w:left w:w="108" w:type="dxa"/>
            <w:bottom w:w="0" w:type="dxa"/>
            <w:right w:w="108" w:type="dxa"/>
          </w:tblCellMar>
        </w:tblPrEx>
        <w:trPr>
          <w:trHeight w:val="355" w:hRule="atLeast"/>
          <w:jc w:val="center"/>
        </w:trPr>
        <w:tc>
          <w:tcPr>
            <w:tcW w:w="2796" w:type="dxa"/>
            <w:tcBorders>
              <w:top w:val="single" w:color="000000" w:sz="4" w:space="0"/>
              <w:left w:val="single" w:color="000000" w:sz="4" w:space="0"/>
              <w:bottom w:val="single" w:color="000000" w:sz="4" w:space="0"/>
              <w:right w:val="single" w:color="000000" w:sz="4" w:space="0"/>
            </w:tcBorders>
            <w:vAlign w:val="center"/>
          </w:tcPr>
          <w:p>
            <w:pPr>
              <w:widowControl/>
              <w:ind w:firstLine="840" w:firstLineChars="300"/>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产出</w:t>
            </w:r>
          </w:p>
        </w:tc>
        <w:tc>
          <w:tcPr>
            <w:tcW w:w="2409"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30.00 </w:t>
            </w:r>
          </w:p>
        </w:tc>
        <w:tc>
          <w:tcPr>
            <w:tcW w:w="2656"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28.50 </w:t>
            </w:r>
          </w:p>
        </w:tc>
      </w:tr>
      <w:tr>
        <w:tblPrEx>
          <w:tblCellMar>
            <w:top w:w="0" w:type="dxa"/>
            <w:left w:w="108" w:type="dxa"/>
            <w:bottom w:w="0" w:type="dxa"/>
            <w:right w:w="108" w:type="dxa"/>
          </w:tblCellMar>
        </w:tblPrEx>
        <w:trPr>
          <w:trHeight w:val="355" w:hRule="atLeast"/>
          <w:jc w:val="center"/>
        </w:trPr>
        <w:tc>
          <w:tcPr>
            <w:tcW w:w="2796" w:type="dxa"/>
            <w:tcBorders>
              <w:top w:val="single" w:color="000000" w:sz="4" w:space="0"/>
              <w:left w:val="single" w:color="000000" w:sz="4" w:space="0"/>
              <w:bottom w:val="single" w:color="000000" w:sz="4" w:space="0"/>
              <w:right w:val="single" w:color="000000" w:sz="4" w:space="0"/>
            </w:tcBorders>
            <w:vAlign w:val="center"/>
          </w:tcPr>
          <w:p>
            <w:pPr>
              <w:widowControl/>
              <w:ind w:firstLine="840" w:firstLineChars="300"/>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效益</w:t>
            </w:r>
          </w:p>
        </w:tc>
        <w:tc>
          <w:tcPr>
            <w:tcW w:w="2409"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32.00 </w:t>
            </w:r>
          </w:p>
        </w:tc>
        <w:tc>
          <w:tcPr>
            <w:tcW w:w="2656"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30.40 </w:t>
            </w:r>
          </w:p>
        </w:tc>
      </w:tr>
      <w:tr>
        <w:tblPrEx>
          <w:tblCellMar>
            <w:top w:w="0" w:type="dxa"/>
            <w:left w:w="108" w:type="dxa"/>
            <w:bottom w:w="0" w:type="dxa"/>
            <w:right w:w="108" w:type="dxa"/>
          </w:tblCellMar>
        </w:tblPrEx>
        <w:trPr>
          <w:trHeight w:val="355" w:hRule="atLeast"/>
          <w:jc w:val="center"/>
        </w:trPr>
        <w:tc>
          <w:tcPr>
            <w:tcW w:w="2796" w:type="dxa"/>
            <w:tcBorders>
              <w:top w:val="single" w:color="000000" w:sz="4" w:space="0"/>
              <w:left w:val="single" w:color="000000" w:sz="4" w:space="0"/>
              <w:bottom w:val="single" w:color="000000" w:sz="4" w:space="0"/>
              <w:right w:val="single" w:color="000000" w:sz="4" w:space="0"/>
            </w:tcBorders>
            <w:vAlign w:val="center"/>
          </w:tcPr>
          <w:p>
            <w:pPr>
              <w:widowControl/>
              <w:ind w:firstLine="840" w:firstLineChars="300"/>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满意度</w:t>
            </w:r>
          </w:p>
        </w:tc>
        <w:tc>
          <w:tcPr>
            <w:tcW w:w="2409"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8.00 </w:t>
            </w:r>
          </w:p>
        </w:tc>
        <w:tc>
          <w:tcPr>
            <w:tcW w:w="2656"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2.48 </w:t>
            </w:r>
          </w:p>
        </w:tc>
      </w:tr>
      <w:tr>
        <w:tblPrEx>
          <w:tblCellMar>
            <w:top w:w="0" w:type="dxa"/>
            <w:left w:w="108" w:type="dxa"/>
            <w:bottom w:w="0" w:type="dxa"/>
            <w:right w:w="108" w:type="dxa"/>
          </w:tblCellMar>
        </w:tblPrEx>
        <w:trPr>
          <w:trHeight w:val="365" w:hRule="atLeast"/>
          <w:jc w:val="center"/>
        </w:trPr>
        <w:tc>
          <w:tcPr>
            <w:tcW w:w="2796" w:type="dxa"/>
            <w:tcBorders>
              <w:top w:val="single" w:color="000000" w:sz="4" w:space="0"/>
              <w:left w:val="single" w:color="000000" w:sz="4" w:space="0"/>
              <w:bottom w:val="single" w:color="000000" w:sz="4" w:space="0"/>
              <w:right w:val="single" w:color="000000" w:sz="4" w:space="0"/>
            </w:tcBorders>
            <w:noWrap/>
            <w:vAlign w:val="center"/>
          </w:tcPr>
          <w:p>
            <w:pPr>
              <w:widowControl/>
              <w:ind w:firstLine="840" w:firstLineChars="300"/>
              <w:textAlignment w:val="center"/>
              <w:rPr>
                <w:rFonts w:ascii="仿宋" w:hAnsi="仿宋" w:eastAsia="仿宋" w:cs="仿宋"/>
                <w:color w:val="000000"/>
                <w:sz w:val="28"/>
                <w:szCs w:val="28"/>
              </w:rPr>
            </w:pPr>
            <w:r>
              <w:rPr>
                <w:rFonts w:hint="eastAsia" w:ascii="仿宋" w:hAnsi="仿宋" w:eastAsia="仿宋" w:cs="仿宋"/>
                <w:color w:val="000000"/>
                <w:sz w:val="28"/>
                <w:szCs w:val="28"/>
                <w:lang w:eastAsia="zh-CN" w:bidi="ar"/>
              </w:rPr>
              <w:t>合计</w:t>
            </w:r>
          </w:p>
        </w:tc>
        <w:tc>
          <w:tcPr>
            <w:tcW w:w="2409"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100.00 </w:t>
            </w:r>
          </w:p>
        </w:tc>
        <w:tc>
          <w:tcPr>
            <w:tcW w:w="2656" w:type="dxa"/>
            <w:tcBorders>
              <w:top w:val="single" w:color="000000" w:sz="4" w:space="0"/>
              <w:left w:val="single" w:color="000000" w:sz="4" w:space="0"/>
              <w:bottom w:val="single" w:color="000000" w:sz="4" w:space="0"/>
              <w:right w:val="single" w:color="000000" w:sz="4" w:space="0"/>
            </w:tcBorders>
            <w:noWrap/>
            <w:vAlign w:val="center"/>
          </w:tcPr>
          <w:p>
            <w:pPr>
              <w:widowControl/>
              <w:ind w:firstLine="560"/>
              <w:jc w:val="center"/>
              <w:textAlignment w:val="center"/>
              <w:rPr>
                <w:rFonts w:ascii="仿宋" w:hAnsi="仿宋" w:eastAsia="仿宋" w:cs="仿宋"/>
                <w:color w:val="000000"/>
                <w:sz w:val="28"/>
                <w:szCs w:val="28"/>
                <w:lang w:eastAsia="zh-CN"/>
              </w:rPr>
            </w:pPr>
            <w:r>
              <w:rPr>
                <w:rFonts w:hint="eastAsia" w:ascii="仿宋" w:hAnsi="仿宋" w:eastAsia="仿宋" w:cs="仿宋"/>
                <w:color w:val="000000"/>
                <w:sz w:val="28"/>
                <w:szCs w:val="28"/>
                <w:lang w:eastAsia="zh-CN"/>
              </w:rPr>
              <w:t xml:space="preserve"> 91.38 </w:t>
            </w:r>
          </w:p>
        </w:tc>
      </w:tr>
    </w:tbl>
    <w:p>
      <w:pPr>
        <w:autoSpaceDE w:val="0"/>
        <w:autoSpaceDN w:val="0"/>
        <w:spacing w:before="120" w:beforeLines="50" w:after="120" w:afterLines="50" w:line="580" w:lineRule="exact"/>
        <w:ind w:firstLine="640" w:firstLineChars="200"/>
        <w:contextualSpacing/>
        <w:rPr>
          <w:rFonts w:ascii="仿宋" w:hAnsi="仿宋" w:eastAsia="仿宋" w:cs="宋体"/>
          <w:sz w:val="32"/>
          <w:szCs w:val="32"/>
          <w:lang w:eastAsia="zh-CN"/>
        </w:rPr>
      </w:pPr>
      <w:r>
        <w:rPr>
          <w:rFonts w:hint="eastAsia" w:ascii="仿宋" w:hAnsi="仿宋" w:eastAsia="仿宋" w:cs="宋体"/>
          <w:sz w:val="32"/>
          <w:szCs w:val="32"/>
          <w:lang w:eastAsia="zh-Hans"/>
        </w:rPr>
        <w:t>绩效目标和指标完成情况</w:t>
      </w:r>
      <w:r>
        <w:rPr>
          <w:rFonts w:hint="eastAsia" w:ascii="仿宋" w:hAnsi="仿宋" w:eastAsia="仿宋" w:cs="宋体"/>
          <w:sz w:val="32"/>
          <w:szCs w:val="32"/>
          <w:lang w:eastAsia="zh-CN"/>
        </w:rPr>
        <w:t>主要扣分点如下：</w:t>
      </w:r>
    </w:p>
    <w:p>
      <w:pPr>
        <w:spacing w:line="580" w:lineRule="exact"/>
        <w:ind w:firstLine="640" w:firstLineChars="200"/>
        <w:rPr>
          <w:rFonts w:ascii="仿宋" w:hAnsi="仿宋" w:eastAsia="仿宋" w:cs="宋体"/>
          <w:sz w:val="32"/>
          <w:szCs w:val="32"/>
          <w:lang w:eastAsia="zh-CN"/>
        </w:rPr>
      </w:pPr>
      <w:r>
        <w:rPr>
          <w:rFonts w:hint="eastAsia" w:ascii="仿宋" w:hAnsi="仿宋" w:eastAsia="仿宋" w:cs="宋体"/>
          <w:sz w:val="32"/>
          <w:szCs w:val="32"/>
          <w:lang w:eastAsia="zh-CN"/>
        </w:rPr>
        <w:t>1.产出指标中的“成本控制率”目标值100%，</w:t>
      </w:r>
      <w:r>
        <w:rPr>
          <w:rFonts w:hint="eastAsia" w:ascii="仿宋" w:hAnsi="仿宋" w:eastAsia="仿宋" w:cs="宋体"/>
          <w:sz w:val="32"/>
          <w:szCs w:val="32"/>
          <w:lang w:eastAsia="zh-Hans"/>
        </w:rPr>
        <w:t>实际</w:t>
      </w:r>
      <w:r>
        <w:rPr>
          <w:rFonts w:hint="eastAsia" w:ascii="仿宋" w:hAnsi="仿宋" w:eastAsia="仿宋" w:cs="宋体"/>
          <w:sz w:val="32"/>
          <w:szCs w:val="32"/>
          <w:lang w:eastAsia="zh-CN"/>
        </w:rPr>
        <w:t>项目累计付款未超概算，但项目尚未进行竣工决算，不具备评价条件，按评分标准扣1.5分；</w:t>
      </w:r>
    </w:p>
    <w:p>
      <w:pPr>
        <w:spacing w:line="580" w:lineRule="exact"/>
        <w:ind w:firstLine="640" w:firstLineChars="200"/>
        <w:rPr>
          <w:rFonts w:ascii="仿宋" w:hAnsi="仿宋" w:eastAsia="仿宋" w:cs="宋体"/>
          <w:sz w:val="32"/>
          <w:szCs w:val="32"/>
          <w:lang w:eastAsia="zh-CN"/>
        </w:rPr>
      </w:pPr>
      <w:r>
        <w:rPr>
          <w:rFonts w:hint="eastAsia" w:ascii="仿宋" w:hAnsi="仿宋" w:eastAsia="仿宋" w:cs="宋体"/>
          <w:sz w:val="32"/>
          <w:szCs w:val="32"/>
          <w:lang w:eastAsia="zh-CN"/>
        </w:rPr>
        <w:t>2.效益指标中的“田间道路通达率”目标值100%，实际完成值由于该指标未提供计算依据，按田间道路照片综合判断，酌情按80%评分，按评分标准扣1.6分；</w:t>
      </w:r>
    </w:p>
    <w:p>
      <w:pPr>
        <w:spacing w:line="580" w:lineRule="exact"/>
        <w:ind w:firstLine="640" w:firstLineChars="200"/>
        <w:rPr>
          <w:rFonts w:ascii="仿宋" w:hAnsi="仿宋" w:eastAsia="仿宋" w:cs="宋体"/>
          <w:sz w:val="32"/>
          <w:szCs w:val="32"/>
          <w:lang w:eastAsia="zh-CN"/>
        </w:rPr>
      </w:pPr>
      <w:r>
        <w:rPr>
          <w:rFonts w:hint="eastAsia" w:ascii="仿宋" w:hAnsi="仿宋" w:eastAsia="仿宋" w:cs="宋体"/>
          <w:sz w:val="32"/>
          <w:szCs w:val="32"/>
          <w:lang w:eastAsia="zh-CN"/>
        </w:rPr>
        <w:t>3.满意度指标目标值90%，实际完成值为90%，但无满意度方案，满意度调查样本量过少、且未对调查结果进行分析及汇总等，按评分标准扣5.52分。</w:t>
      </w:r>
    </w:p>
    <w:p>
      <w:pPr>
        <w:numPr>
          <w:ilvl w:val="0"/>
          <w:numId w:val="2"/>
        </w:numPr>
        <w:spacing w:line="580" w:lineRule="exact"/>
        <w:ind w:firstLine="640" w:firstLineChars="200"/>
        <w:jc w:val="both"/>
        <w:rPr>
          <w:rFonts w:ascii="黑体" w:hAnsi="黑体" w:eastAsia="黑体" w:cs="仿宋"/>
          <w:sz w:val="32"/>
          <w:szCs w:val="32"/>
          <w:lang w:eastAsia="zh-CN"/>
        </w:rPr>
      </w:pPr>
      <w:r>
        <w:rPr>
          <w:rFonts w:hint="eastAsia" w:ascii="黑体" w:hAnsi="黑体" w:eastAsia="黑体" w:cs="仿宋"/>
          <w:sz w:val="32"/>
          <w:szCs w:val="32"/>
          <w:lang w:eastAsia="zh-CN"/>
        </w:rPr>
        <w:t>存在问题</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宋体"/>
          <w:sz w:val="32"/>
          <w:szCs w:val="32"/>
          <w:lang w:eastAsia="zh-CN"/>
        </w:rPr>
        <w:t>1.产出成本指标“成本控制率”目标值“100%”，指标计算方式不明确。绩效目标申报表立项批复投入资金总额为15,205.94万元；根据初步设计批复及提供的情况说明，项目概算为17,948.79万元。建议明确指标考核的成本控制总额。</w:t>
      </w:r>
      <w:r>
        <w:rPr>
          <w:rFonts w:hint="eastAsia" w:ascii="仿宋" w:hAnsi="仿宋" w:eastAsia="仿宋" w:cs="仿宋"/>
          <w:sz w:val="32"/>
          <w:szCs w:val="32"/>
          <w:lang w:eastAsia="zh-CN"/>
        </w:rPr>
        <w:t xml:space="preserve">  </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项目建成后的效益指标重点关注不够，对高标准农田建成后的具体成效体现较少，只是反映建成后“田间道路通达”情况指标，田间道路通达不是高标准农田改造的预期主要目标和唯一目标，对具体建成后农作物种植，以及预期的社会和经济效益几乎没有涉及。</w:t>
      </w:r>
    </w:p>
    <w:p>
      <w:pPr>
        <w:numPr>
          <w:ilvl w:val="0"/>
          <w:numId w:val="2"/>
        </w:numPr>
        <w:spacing w:line="580" w:lineRule="exact"/>
        <w:ind w:firstLine="643" w:firstLineChars="200"/>
        <w:jc w:val="both"/>
        <w:rPr>
          <w:rFonts w:ascii="仿宋" w:hAnsi="仿宋" w:eastAsia="仿宋" w:cs="仿宋"/>
          <w:b/>
          <w:bCs/>
          <w:sz w:val="32"/>
          <w:szCs w:val="32"/>
          <w:lang w:eastAsia="zh-CN"/>
        </w:rPr>
      </w:pPr>
      <w:r>
        <w:rPr>
          <w:rFonts w:hint="eastAsia" w:ascii="仿宋" w:hAnsi="仿宋" w:eastAsia="仿宋" w:cs="仿宋"/>
          <w:b/>
          <w:bCs/>
          <w:sz w:val="32"/>
          <w:szCs w:val="32"/>
          <w:lang w:eastAsia="zh-CN"/>
        </w:rPr>
        <w:t>有关建议</w:t>
      </w:r>
    </w:p>
    <w:p>
      <w:pPr>
        <w:pStyle w:val="37"/>
        <w:spacing w:line="580" w:lineRule="exact"/>
        <w:ind w:firstLine="608" w:firstLineChars="190"/>
        <w:rPr>
          <w:rFonts w:ascii="楷体" w:hAnsi="楷体" w:eastAsia="楷体" w:cs="仿宋"/>
          <w:sz w:val="32"/>
          <w:szCs w:val="32"/>
        </w:rPr>
      </w:pPr>
      <w:r>
        <w:rPr>
          <w:rFonts w:hint="eastAsia" w:ascii="楷体" w:hAnsi="楷体" w:eastAsia="楷体" w:cs="仿宋"/>
          <w:sz w:val="32"/>
          <w:szCs w:val="32"/>
        </w:rPr>
        <w:t>1.做到动态跟踪项目建设</w:t>
      </w:r>
    </w:p>
    <w:p>
      <w:pPr>
        <w:pStyle w:val="37"/>
        <w:spacing w:line="580" w:lineRule="exact"/>
        <w:ind w:firstLine="608" w:firstLineChars="190"/>
        <w:rPr>
          <w:rFonts w:ascii="仿宋" w:hAnsi="仿宋" w:eastAsia="仿宋" w:cs="仿宋"/>
          <w:sz w:val="32"/>
          <w:szCs w:val="32"/>
        </w:rPr>
      </w:pPr>
      <w:r>
        <w:rPr>
          <w:rFonts w:hint="eastAsia" w:ascii="仿宋" w:hAnsi="仿宋" w:eastAsia="仿宋" w:cs="仿宋"/>
          <w:sz w:val="32"/>
          <w:szCs w:val="32"/>
        </w:rPr>
        <w:t>在未来年度专项债券绩效管理工作中，进一步加强相关绩效管理知识、专项债管理工作的学习，对于项目实施中相关建设内容及规模调整后，应及时调整绩效目标；</w:t>
      </w:r>
    </w:p>
    <w:p>
      <w:pPr>
        <w:spacing w:line="580" w:lineRule="exact"/>
        <w:ind w:firstLine="640" w:firstLineChars="200"/>
        <w:jc w:val="both"/>
        <w:rPr>
          <w:rFonts w:ascii="楷体" w:hAnsi="楷体" w:eastAsia="楷体" w:cs="仿宋"/>
          <w:sz w:val="32"/>
          <w:szCs w:val="32"/>
          <w:lang w:eastAsia="zh-CN"/>
        </w:rPr>
      </w:pPr>
      <w:r>
        <w:rPr>
          <w:rFonts w:hint="eastAsia" w:ascii="楷体" w:hAnsi="楷体" w:eastAsia="楷体" w:cs="仿宋"/>
          <w:sz w:val="32"/>
          <w:szCs w:val="32"/>
          <w:lang w:eastAsia="zh-CN"/>
        </w:rPr>
        <w:t>2.关注项目实施重点及成效</w:t>
      </w:r>
    </w:p>
    <w:p>
      <w:pPr>
        <w:spacing w:line="580" w:lineRule="exact"/>
        <w:ind w:firstLine="640"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通过对项目前期可研材料和事前绩效评估资料的学习，了解和掌握项目实施的主要内容和重点，合理确定绩效目标和绩效考核指标。</w:t>
      </w:r>
    </w:p>
    <w:p>
      <w:pPr>
        <w:spacing w:line="580" w:lineRule="exact"/>
        <w:ind w:firstLine="624" w:firstLineChars="200"/>
        <w:jc w:val="both"/>
        <w:rPr>
          <w:rFonts w:ascii="仿宋" w:hAnsi="仿宋" w:eastAsia="仿宋" w:cs="仿宋"/>
          <w:spacing w:val="-4"/>
          <w:sz w:val="32"/>
          <w:szCs w:val="32"/>
          <w:lang w:eastAsia="zh-CN"/>
        </w:rPr>
      </w:pPr>
    </w:p>
    <w:p>
      <w:pPr>
        <w:rPr>
          <w:lang w:eastAsia="zh-CN"/>
        </w:rPr>
      </w:pPr>
    </w:p>
    <w:sectPr>
      <w:pgSz w:w="11910" w:h="16840"/>
      <w:pgMar w:top="2041" w:right="1559" w:bottom="1928" w:left="1559" w:header="851" w:footer="153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EE1E88"/>
    <w:multiLevelType w:val="singleLevel"/>
    <w:tmpl w:val="6AEE1E88"/>
    <w:lvl w:ilvl="0" w:tentative="0">
      <w:start w:val="3"/>
      <w:numFmt w:val="chineseCounting"/>
      <w:suff w:val="nothing"/>
      <w:lvlText w:val="%1、"/>
      <w:lvlJc w:val="left"/>
      <w:rPr>
        <w:rFonts w:hint="eastAsia"/>
      </w:rPr>
    </w:lvl>
  </w:abstractNum>
  <w:abstractNum w:abstractNumId="1">
    <w:nsid w:val="76B743EE"/>
    <w:multiLevelType w:val="singleLevel"/>
    <w:tmpl w:val="76B743E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docVars>
    <w:docVar w:name="commondata" w:val="eyJoZGlkIjoiYjYyMGIyNWIxZjg4OTA0ZjAyODhhOWVlNzkzODg3MjUifQ=="/>
  </w:docVars>
  <w:rsids>
    <w:rsidRoot w:val="00BF2464"/>
    <w:rsid w:val="0023676C"/>
    <w:rsid w:val="004475BB"/>
    <w:rsid w:val="00602599"/>
    <w:rsid w:val="0097714C"/>
    <w:rsid w:val="00BF2464"/>
    <w:rsid w:val="00E457F2"/>
    <w:rsid w:val="112D6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pPr>
    <w:rPr>
      <w:rFonts w:asciiTheme="minorHAnsi" w:hAnsiTheme="minorHAnsi" w:eastAsiaTheme="minorEastAsia" w:cstheme="minorBidi"/>
      <w:kern w:val="0"/>
      <w:sz w:val="22"/>
      <w:szCs w:val="22"/>
      <w:lang w:val="en-US" w:eastAsia="en-US"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0F4761"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0F4761"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0F4761"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0F4761"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0F4761"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24"/>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85858" w:themeColor="text1" w:themeTint="A6"/>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pPr>
    <w:rPr>
      <w:sz w:val="18"/>
      <w:szCs w:val="18"/>
    </w:rPr>
  </w:style>
  <w:style w:type="paragraph" w:styleId="12">
    <w:name w:val="header"/>
    <w:basedOn w:val="1"/>
    <w:link w:val="35"/>
    <w:unhideWhenUsed/>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85858" w:themeColor="text1" w:themeTint="A6"/>
      <w:spacing w:val="15"/>
      <w:sz w:val="28"/>
      <w:szCs w:val="28"/>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0F4761"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0F4761"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20">
    <w:name w:val="标题 4 字符"/>
    <w:basedOn w:val="16"/>
    <w:link w:val="5"/>
    <w:semiHidden/>
    <w:qFormat/>
    <w:uiPriority w:val="9"/>
    <w:rPr>
      <w:rFonts w:cstheme="majorBidi"/>
      <w:color w:val="0F4761" w:themeColor="accent1" w:themeShade="BF"/>
      <w:sz w:val="28"/>
      <w:szCs w:val="28"/>
    </w:rPr>
  </w:style>
  <w:style w:type="character" w:customStyle="1" w:styleId="21">
    <w:name w:val="标题 5 字符"/>
    <w:basedOn w:val="16"/>
    <w:link w:val="6"/>
    <w:semiHidden/>
    <w:qFormat/>
    <w:uiPriority w:val="9"/>
    <w:rPr>
      <w:rFonts w:cstheme="majorBidi"/>
      <w:color w:val="0F4761" w:themeColor="accent1" w:themeShade="BF"/>
      <w:sz w:val="24"/>
      <w:szCs w:val="24"/>
    </w:rPr>
  </w:style>
  <w:style w:type="character" w:customStyle="1" w:styleId="22">
    <w:name w:val="标题 6 字符"/>
    <w:basedOn w:val="16"/>
    <w:link w:val="7"/>
    <w:semiHidden/>
    <w:qFormat/>
    <w:uiPriority w:val="9"/>
    <w:rPr>
      <w:rFonts w:cstheme="majorBidi"/>
      <w:b/>
      <w:bCs/>
      <w:color w:val="0F4761" w:themeColor="accent1" w:themeShade="BF"/>
    </w:rPr>
  </w:style>
  <w:style w:type="character" w:customStyle="1" w:styleId="23">
    <w:name w:val="标题 7 字符"/>
    <w:basedOn w:val="16"/>
    <w:link w:val="8"/>
    <w:semiHidden/>
    <w:qFormat/>
    <w:uiPriority w:val="9"/>
    <w:rPr>
      <w:rFonts w:cstheme="majorBidi"/>
      <w:b/>
      <w:bCs/>
      <w:color w:val="585858" w:themeColor="text1" w:themeTint="A6"/>
    </w:rPr>
  </w:style>
  <w:style w:type="character" w:customStyle="1" w:styleId="24">
    <w:name w:val="标题 8 字符"/>
    <w:basedOn w:val="16"/>
    <w:link w:val="9"/>
    <w:semiHidden/>
    <w:qFormat/>
    <w:uiPriority w:val="9"/>
    <w:rPr>
      <w:rFonts w:cstheme="majorBidi"/>
      <w:color w:val="585858" w:themeColor="text1" w:themeTint="A6"/>
    </w:rPr>
  </w:style>
  <w:style w:type="character" w:customStyle="1" w:styleId="25">
    <w:name w:val="标题 9 字符"/>
    <w:basedOn w:val="16"/>
    <w:link w:val="10"/>
    <w:semiHidden/>
    <w:qFormat/>
    <w:uiPriority w:val="9"/>
    <w:rPr>
      <w:rFonts w:eastAsiaTheme="majorEastAsia" w:cstheme="majorBidi"/>
      <w:color w:val="585858" w:themeColor="text1" w:themeTint="A6"/>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85858" w:themeColor="text1" w:themeTint="A6"/>
      <w:spacing w:val="15"/>
      <w:sz w:val="28"/>
      <w:szCs w:val="28"/>
    </w:rPr>
  </w:style>
  <w:style w:type="paragraph" w:styleId="28">
    <w:name w:val="Quote"/>
    <w:basedOn w:val="1"/>
    <w:next w:val="1"/>
    <w:link w:val="29"/>
    <w:qFormat/>
    <w:uiPriority w:val="29"/>
    <w:pPr>
      <w:spacing w:before="160" w:after="160"/>
      <w:jc w:val="center"/>
    </w:pPr>
    <w:rPr>
      <w:i/>
      <w:iCs/>
      <w:color w:val="3F3F3F" w:themeColor="text1" w:themeTint="BF"/>
    </w:rPr>
  </w:style>
  <w:style w:type="character" w:customStyle="1" w:styleId="29">
    <w:name w:val="引用 字符"/>
    <w:basedOn w:val="16"/>
    <w:link w:val="28"/>
    <w:qFormat/>
    <w:uiPriority w:val="29"/>
    <w:rPr>
      <w:i/>
      <w:iCs/>
      <w:color w:val="3F3F3F" w:themeColor="text1" w:themeTint="BF"/>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0F4761"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33">
    <w:name w:val="明显引用 字符"/>
    <w:basedOn w:val="16"/>
    <w:link w:val="32"/>
    <w:qFormat/>
    <w:uiPriority w:val="30"/>
    <w:rPr>
      <w:i/>
      <w:iCs/>
      <w:color w:val="0F4761" w:themeColor="accent1" w:themeShade="BF"/>
    </w:rPr>
  </w:style>
  <w:style w:type="character" w:customStyle="1" w:styleId="34">
    <w:name w:val="Intense Reference"/>
    <w:basedOn w:val="16"/>
    <w:qFormat/>
    <w:uiPriority w:val="32"/>
    <w:rPr>
      <w:b/>
      <w:bCs/>
      <w:smallCaps/>
      <w:color w:val="0F4761"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 w:type="paragraph" w:customStyle="1" w:styleId="37">
    <w:name w:val="段"/>
    <w:next w:val="1"/>
    <w:autoRedefine/>
    <w:qFormat/>
    <w:uiPriority w:val="0"/>
    <w:pPr>
      <w:autoSpaceDE w:val="0"/>
      <w:autoSpaceDN w:val="0"/>
      <w:ind w:firstLine="200"/>
      <w:jc w:val="both"/>
    </w:pPr>
    <w:rPr>
      <w:rFonts w:ascii="宋体" w:hAnsi="Times New Roman" w:eastAsia="宋体" w:cs="Times New Roman"/>
      <w:kern w:val="0"/>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1575</Words>
  <Characters>1735</Characters>
  <Lines>12</Lines>
  <Paragraphs>3</Paragraphs>
  <TotalTime>9</TotalTime>
  <ScaleCrop>false</ScaleCrop>
  <LinksUpToDate>false</LinksUpToDate>
  <CharactersWithSpaces>1758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2024-06-17T01:24:00Z</dcterms:created>
  <dc:creator>时嫣丹</dc:creator>
  <cp:lastModifiedBy>雲</cp:lastModifiedBy>
  <dcterms:modified xsi:type="dcterms:W3CDTF">2024-06-18T14:24:15Z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3FD5E0110C4346A4BA04EB148DC1637A_12</vt:lpwstr>
  </property>
</Properties>
</file>