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9" w:line="574" w:lineRule="exact"/>
        <w:ind w:left="120"/>
        <w:rPr>
          <w:rFonts w:ascii="Times New Roman" w:hAnsi="Times New Roman" w:eastAsia="方正黑体_GBK" w:cs="Times New Roman"/>
          <w:sz w:val="32"/>
          <w:szCs w:val="32"/>
          <w:lang w:eastAsia="zh-CN"/>
        </w:rPr>
      </w:pPr>
      <w:r>
        <w:rPr>
          <w:rFonts w:ascii="Times New Roman" w:hAnsi="Times New Roman" w:eastAsia="方正黑体_GBK" w:cs="Times New Roman"/>
          <w:sz w:val="32"/>
          <w:szCs w:val="32"/>
          <w:lang w:eastAsia="zh-CN"/>
        </w:rPr>
        <w:t>附件</w:t>
      </w:r>
      <w:r>
        <w:rPr>
          <w:rFonts w:hint="eastAsia" w:ascii="Times New Roman" w:hAnsi="Times New Roman" w:eastAsia="方正黑体_GBK" w:cs="Times New Roman"/>
          <w:sz w:val="32"/>
          <w:szCs w:val="32"/>
          <w:lang w:val="en-US" w:eastAsia="zh-CN"/>
        </w:rPr>
        <w:t>7</w:t>
      </w:r>
    </w:p>
    <w:p>
      <w:pPr>
        <w:spacing w:before="2" w:line="574" w:lineRule="exact"/>
        <w:rPr>
          <w:rFonts w:ascii="宋体" w:hAnsi="宋体" w:eastAsia="宋体" w:cs="宋体"/>
          <w:sz w:val="27"/>
          <w:szCs w:val="27"/>
          <w:lang w:eastAsia="zh-CN"/>
        </w:rPr>
      </w:pPr>
    </w:p>
    <w:p>
      <w:pPr>
        <w:spacing w:line="574" w:lineRule="exact"/>
        <w:jc w:val="center"/>
        <w:rPr>
          <w:rFonts w:ascii="方正小标宋_GBK" w:eastAsia="方正小标宋_GBK"/>
          <w:sz w:val="44"/>
          <w:szCs w:val="44"/>
          <w:lang w:eastAsia="zh-CN"/>
        </w:rPr>
      </w:pPr>
      <w:r>
        <w:rPr>
          <w:rFonts w:hint="eastAsia" w:ascii="方正小标宋_GBK" w:eastAsia="方正小标宋_GBK"/>
          <w:sz w:val="44"/>
          <w:szCs w:val="44"/>
          <w:lang w:eastAsia="zh-CN"/>
        </w:rPr>
        <w:t>江苏省政府专项债券项目绩效自评价报告</w:t>
      </w:r>
    </w:p>
    <w:p>
      <w:pPr>
        <w:spacing w:line="574" w:lineRule="exact"/>
        <w:jc w:val="center"/>
        <w:rPr>
          <w:rFonts w:ascii="方正小标宋_GBK" w:eastAsia="方正小标宋_GBK"/>
          <w:sz w:val="44"/>
          <w:szCs w:val="44"/>
          <w:lang w:eastAsia="zh-CN"/>
        </w:rPr>
      </w:pPr>
      <w:r>
        <w:rPr>
          <w:rFonts w:hint="eastAsia" w:ascii="方正小标宋_GBK" w:eastAsia="方正小标宋_GBK"/>
          <w:sz w:val="44"/>
          <w:szCs w:val="44"/>
          <w:lang w:eastAsia="zh-CN"/>
        </w:rPr>
        <w:t>（</w:t>
      </w:r>
      <w:r>
        <w:rPr>
          <w:rFonts w:hint="eastAsia" w:ascii="仿宋_GB2312" w:hAnsi="Calibri" w:eastAsia="仿宋_GB2312" w:cs="Times New Roman"/>
          <w:sz w:val="28"/>
          <w:szCs w:val="28"/>
          <w:lang w:eastAsia="zh-CN"/>
        </w:rPr>
        <w:t>苏州高新区镇湖街道西京湾高标准农田建设项目</w:t>
      </w:r>
      <w:r>
        <w:rPr>
          <w:rFonts w:hint="eastAsia" w:ascii="方正小标宋_GBK" w:eastAsia="方正小标宋_GBK"/>
          <w:sz w:val="44"/>
          <w:szCs w:val="44"/>
          <w:lang w:eastAsia="zh-CN"/>
        </w:rPr>
        <w:t>）</w:t>
      </w:r>
    </w:p>
    <w:p>
      <w:pPr>
        <w:spacing w:line="574" w:lineRule="exact"/>
        <w:jc w:val="center"/>
        <w:rPr>
          <w:rFonts w:ascii="方正小标宋_GBK" w:eastAsia="方正小标宋_GBK" w:cs="宋体"/>
          <w:sz w:val="44"/>
          <w:szCs w:val="44"/>
          <w:lang w:eastAsia="zh-CN"/>
        </w:rPr>
      </w:pPr>
    </w:p>
    <w:p>
      <w:pPr>
        <w:spacing w:line="574" w:lineRule="exact"/>
        <w:ind w:firstLine="600" w:firstLineChars="200"/>
        <w:jc w:val="both"/>
        <w:rPr>
          <w:rFonts w:ascii="黑体" w:hAnsi="黑体" w:eastAsia="黑体"/>
          <w:sz w:val="30"/>
          <w:szCs w:val="30"/>
          <w:lang w:eastAsia="zh-CN"/>
        </w:rPr>
      </w:pPr>
      <w:r>
        <w:rPr>
          <w:rFonts w:hint="eastAsia" w:ascii="黑体" w:hAnsi="黑体" w:eastAsia="黑体"/>
          <w:sz w:val="30"/>
          <w:szCs w:val="30"/>
          <w:lang w:eastAsia="zh-CN"/>
        </w:rPr>
        <w:t>一、项目情况</w:t>
      </w:r>
    </w:p>
    <w:p>
      <w:pPr>
        <w:spacing w:line="574" w:lineRule="exact"/>
        <w:ind w:firstLine="584" w:firstLineChars="200"/>
        <w:jc w:val="both"/>
        <w:rPr>
          <w:rFonts w:ascii="方正仿宋_GBK" w:eastAsia="方正仿宋_GBK"/>
          <w:spacing w:val="-4"/>
          <w:sz w:val="30"/>
          <w:szCs w:val="30"/>
          <w:lang w:eastAsia="zh-CN"/>
        </w:rPr>
      </w:pPr>
      <w:r>
        <w:rPr>
          <w:rFonts w:hint="eastAsia" w:ascii="方正仿宋_GBK" w:eastAsia="方正仿宋_GBK"/>
          <w:spacing w:val="-4"/>
          <w:sz w:val="30"/>
          <w:szCs w:val="30"/>
          <w:lang w:eastAsia="zh-CN"/>
        </w:rPr>
        <w:t>（一）项目概况。</w:t>
      </w:r>
    </w:p>
    <w:p>
      <w:pPr>
        <w:spacing w:line="560" w:lineRule="exact"/>
        <w:ind w:firstLine="560" w:firstLineChars="200"/>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依据《〈苏州市高标准农田改造提升示范区建设意见〉</w:t>
      </w:r>
      <w:r>
        <w:rPr>
          <w:rFonts w:ascii="仿宋_GB2312" w:hAnsi="Calibri" w:eastAsia="仿宋_GB2312" w:cs="Times New Roman"/>
          <w:sz w:val="28"/>
          <w:szCs w:val="28"/>
          <w:lang w:eastAsia="zh-CN"/>
        </w:rPr>
        <w:t>和</w:t>
      </w:r>
      <w:r>
        <w:rPr>
          <w:rFonts w:hint="eastAsia" w:ascii="仿宋_GB2312" w:hAnsi="Calibri" w:eastAsia="仿宋_GB2312" w:cs="Times New Roman"/>
          <w:sz w:val="28"/>
          <w:szCs w:val="28"/>
          <w:lang w:eastAsia="zh-CN"/>
        </w:rPr>
        <w:t>〈苏州市现代农业园区转型升级实施意见〉》</w:t>
      </w:r>
      <w:r>
        <w:rPr>
          <w:rFonts w:ascii="仿宋_GB2312" w:hAnsi="Calibri" w:eastAsia="仿宋_GB2312" w:cs="Times New Roman"/>
          <w:sz w:val="28"/>
          <w:szCs w:val="28"/>
          <w:lang w:eastAsia="zh-CN"/>
        </w:rPr>
        <w:t>（苏市农田</w:t>
      </w:r>
      <w:r>
        <w:rPr>
          <w:rFonts w:hint="eastAsia" w:ascii="仿宋_GB2312" w:hAnsi="Calibri" w:eastAsia="仿宋_GB2312" w:cs="Times New Roman"/>
          <w:sz w:val="28"/>
          <w:szCs w:val="28"/>
          <w:lang w:eastAsia="zh-CN"/>
        </w:rPr>
        <w:t>〔</w:t>
      </w:r>
      <w:r>
        <w:rPr>
          <w:rFonts w:ascii="仿宋_GB2312" w:hAnsi="Calibri" w:eastAsia="仿宋_GB2312" w:cs="Times New Roman"/>
          <w:sz w:val="28"/>
          <w:szCs w:val="28"/>
          <w:lang w:eastAsia="zh-CN"/>
        </w:rPr>
        <w:t>2021</w:t>
      </w:r>
      <w:r>
        <w:rPr>
          <w:rFonts w:hint="eastAsia" w:ascii="仿宋_GB2312" w:hAnsi="Calibri" w:eastAsia="仿宋_GB2312" w:cs="Times New Roman"/>
          <w:sz w:val="28"/>
          <w:szCs w:val="28"/>
          <w:lang w:eastAsia="zh-CN"/>
        </w:rPr>
        <w:t>〕</w:t>
      </w:r>
      <w:r>
        <w:rPr>
          <w:rFonts w:ascii="仿宋_GB2312" w:hAnsi="Calibri" w:eastAsia="仿宋_GB2312" w:cs="Times New Roman"/>
          <w:sz w:val="28"/>
          <w:szCs w:val="28"/>
          <w:lang w:eastAsia="zh-CN"/>
        </w:rPr>
        <w:t>13号）</w:t>
      </w:r>
      <w:r>
        <w:rPr>
          <w:rFonts w:hint="eastAsia" w:ascii="仿宋_GB2312" w:hAnsi="Calibri" w:eastAsia="仿宋_GB2312" w:cs="Times New Roman"/>
          <w:sz w:val="28"/>
          <w:szCs w:val="28"/>
          <w:lang w:eastAsia="zh-CN"/>
        </w:rPr>
        <w:t>和《关于开展灌排系统生态化改造推进生态农田建设试点的通知》</w:t>
      </w:r>
      <w:r>
        <w:rPr>
          <w:rFonts w:ascii="仿宋_GB2312" w:hAnsi="Calibri" w:eastAsia="仿宋_GB2312" w:cs="Times New Roman"/>
          <w:sz w:val="28"/>
          <w:szCs w:val="28"/>
          <w:lang w:eastAsia="zh-CN"/>
        </w:rPr>
        <w:t>（苏田便</w:t>
      </w:r>
      <w:r>
        <w:rPr>
          <w:rFonts w:hint="eastAsia" w:ascii="仿宋_GB2312" w:hAnsi="Calibri" w:eastAsia="仿宋_GB2312" w:cs="Times New Roman"/>
          <w:sz w:val="28"/>
          <w:szCs w:val="28"/>
          <w:lang w:eastAsia="zh-CN"/>
        </w:rPr>
        <w:t>〔</w:t>
      </w:r>
      <w:r>
        <w:rPr>
          <w:rFonts w:ascii="仿宋_GB2312" w:hAnsi="Calibri" w:eastAsia="仿宋_GB2312" w:cs="Times New Roman"/>
          <w:sz w:val="28"/>
          <w:szCs w:val="28"/>
          <w:lang w:eastAsia="zh-CN"/>
        </w:rPr>
        <w:t>2021</w:t>
      </w:r>
      <w:r>
        <w:rPr>
          <w:rFonts w:hint="eastAsia" w:ascii="仿宋_GB2312" w:hAnsi="Calibri" w:eastAsia="仿宋_GB2312" w:cs="Times New Roman"/>
          <w:sz w:val="28"/>
          <w:szCs w:val="28"/>
          <w:lang w:eastAsia="zh-CN"/>
        </w:rPr>
        <w:t>〕</w:t>
      </w:r>
      <w:r>
        <w:rPr>
          <w:rFonts w:ascii="仿宋_GB2312" w:hAnsi="Calibri" w:eastAsia="仿宋_GB2312" w:cs="Times New Roman"/>
          <w:sz w:val="28"/>
          <w:szCs w:val="28"/>
          <w:lang w:eastAsia="zh-CN"/>
        </w:rPr>
        <w:t>223号）</w:t>
      </w:r>
      <w:r>
        <w:rPr>
          <w:rFonts w:hint="eastAsia" w:ascii="仿宋_GB2312" w:hAnsi="Calibri" w:eastAsia="仿宋_GB2312" w:cs="Times New Roman"/>
          <w:sz w:val="28"/>
          <w:szCs w:val="28"/>
          <w:lang w:eastAsia="zh-CN"/>
        </w:rPr>
        <w:t>等文件精神，结合</w:t>
      </w:r>
      <w:r>
        <w:rPr>
          <w:rFonts w:ascii="仿宋_GB2312" w:hAnsi="Calibri" w:eastAsia="仿宋_GB2312" w:cs="Times New Roman"/>
          <w:sz w:val="28"/>
          <w:szCs w:val="28"/>
          <w:lang w:eastAsia="zh-CN"/>
        </w:rPr>
        <w:t>高新</w:t>
      </w:r>
      <w:r>
        <w:rPr>
          <w:rFonts w:hint="eastAsia" w:ascii="仿宋_GB2312" w:hAnsi="Calibri" w:eastAsia="仿宋_GB2312" w:cs="Times New Roman"/>
          <w:sz w:val="28"/>
          <w:szCs w:val="28"/>
          <w:lang w:eastAsia="zh-CN"/>
        </w:rPr>
        <w:t>区率先基本实现农业农村现代化暨特色康居乡村建设工作推进会议提出的工作要求，为进一步提升高标准农田建设质量，发挥农田系统的生态功能，促进现代农业高质量发展，加快实现农业农村现代化，</w:t>
      </w:r>
      <w:r>
        <w:rPr>
          <w:rFonts w:ascii="仿宋_GB2312" w:hAnsi="Calibri" w:eastAsia="仿宋_GB2312" w:cs="Times New Roman"/>
          <w:sz w:val="28"/>
          <w:szCs w:val="28"/>
          <w:lang w:eastAsia="zh-CN"/>
        </w:rPr>
        <w:t>决定</w:t>
      </w:r>
      <w:r>
        <w:rPr>
          <w:rFonts w:hint="eastAsia" w:ascii="仿宋_GB2312" w:hAnsi="Calibri" w:eastAsia="仿宋_GB2312" w:cs="Times New Roman"/>
          <w:sz w:val="28"/>
          <w:szCs w:val="28"/>
          <w:lang w:eastAsia="zh-CN"/>
        </w:rPr>
        <w:t>在镇湖街道西京湾</w:t>
      </w:r>
      <w:r>
        <w:rPr>
          <w:rFonts w:ascii="仿宋_GB2312" w:hAnsi="Calibri" w:eastAsia="仿宋_GB2312" w:cs="Times New Roman"/>
          <w:sz w:val="28"/>
          <w:szCs w:val="28"/>
          <w:lang w:eastAsia="zh-CN"/>
        </w:rPr>
        <w:t>开展</w:t>
      </w:r>
      <w:r>
        <w:rPr>
          <w:rFonts w:hint="eastAsia" w:ascii="仿宋_GB2312" w:hAnsi="Calibri" w:eastAsia="仿宋_GB2312" w:cs="Times New Roman"/>
          <w:sz w:val="28"/>
          <w:szCs w:val="28"/>
          <w:lang w:eastAsia="zh-CN"/>
        </w:rPr>
        <w:t>高标准农田建设项目。</w:t>
      </w:r>
    </w:p>
    <w:p>
      <w:pPr>
        <w:spacing w:line="560" w:lineRule="exact"/>
        <w:ind w:firstLine="560" w:firstLineChars="200"/>
        <w:rPr>
          <w:rFonts w:hint="eastAsia"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项目为新建高标准农田建设项目，其中东区位于镇湖街道上山村、太湖村，西区位于镇湖街道上山村。东区项目拟实施高标准农田建设工程，建设规模815亩，西区项目拟实施高标准农田建设工程，建设规模579亩，建设内容主要水利工程、农业工程、田间道路工程、林业工程和其他措施等。</w:t>
      </w:r>
    </w:p>
    <w:p>
      <w:pPr>
        <w:spacing w:line="560" w:lineRule="exact"/>
        <w:ind w:firstLine="560" w:firstLineChars="200"/>
        <w:rPr>
          <w:rFonts w:ascii="仿宋_GB2312" w:hAnsi="Calibri" w:eastAsia="仿宋_GB2312" w:cs="Times New Roman"/>
          <w:sz w:val="28"/>
          <w:szCs w:val="28"/>
          <w:lang w:eastAsia="zh-CN"/>
        </w:rPr>
      </w:pPr>
      <w:r>
        <w:rPr>
          <w:rFonts w:ascii="仿宋_GB2312" w:hAnsi="Calibri" w:eastAsia="仿宋_GB2312" w:cs="Times New Roman"/>
          <w:sz w:val="28"/>
          <w:szCs w:val="28"/>
          <w:lang w:eastAsia="zh-CN"/>
        </w:rPr>
        <w:t>本项目计划投资</w:t>
      </w:r>
      <w:r>
        <w:rPr>
          <w:rFonts w:hint="eastAsia" w:ascii="仿宋_GB2312" w:hAnsi="Calibri" w:eastAsia="仿宋_GB2312" w:cs="Times New Roman"/>
          <w:sz w:val="28"/>
          <w:szCs w:val="28"/>
          <w:lang w:eastAsia="zh-CN"/>
        </w:rPr>
        <w:t>6984.8万元，自有资本金1984.8万元，自有资本金根据工程建设进度由财政资金安排。项目除政府专项债券资金安排5000万元外，无其他融资。项目已于2022年11月开工。本项目于2022年已发行专项债券4000万元，2023年已发行专项债券融资1000万元，除专项债券融资资金外，其他资金需求均由财政资金安排。</w:t>
      </w:r>
    </w:p>
    <w:p>
      <w:pPr>
        <w:spacing w:line="574" w:lineRule="exact"/>
        <w:ind w:firstLine="600" w:firstLineChars="200"/>
        <w:jc w:val="both"/>
        <w:rPr>
          <w:rFonts w:ascii="方正仿宋_GBK" w:eastAsia="方正仿宋_GBK"/>
          <w:sz w:val="30"/>
          <w:szCs w:val="30"/>
          <w:lang w:eastAsia="zh-CN"/>
        </w:rPr>
      </w:pPr>
      <w:r>
        <w:rPr>
          <w:rFonts w:hint="eastAsia" w:ascii="方正仿宋_GBK" w:eastAsia="方正仿宋_GBK"/>
          <w:sz w:val="30"/>
          <w:szCs w:val="30"/>
          <w:lang w:eastAsia="zh-CN"/>
        </w:rPr>
        <w:t>（二）绩效目标。</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项目总体目标：</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为高质量推进高标准农田建设，发挥农田系统的生态功能，促进现代农业高质量发展，加快实现农业农村现代化，筑牢粮食生产基础。</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阶段性目标（年度目标）：</w:t>
      </w:r>
    </w:p>
    <w:p>
      <w:pPr>
        <w:pStyle w:val="12"/>
        <w:numPr>
          <w:ilvl w:val="0"/>
          <w:numId w:val="1"/>
        </w:numPr>
        <w:spacing w:line="574" w:lineRule="exact"/>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东区高标准农田</w:t>
      </w:r>
      <w:r>
        <w:rPr>
          <w:rFonts w:hint="eastAsia" w:ascii="仿宋_GB2312" w:hAnsi="Calibri" w:eastAsia="仿宋_GB2312" w:cs="Times New Roman"/>
          <w:sz w:val="28"/>
          <w:szCs w:val="28"/>
          <w:lang w:val="en-US" w:eastAsia="zh-CN"/>
        </w:rPr>
        <w:t>竣工验收</w:t>
      </w:r>
      <w:r>
        <w:rPr>
          <w:rFonts w:hint="eastAsia" w:ascii="仿宋_GB2312" w:hAnsi="Calibri" w:eastAsia="仿宋_GB2312" w:cs="Times New Roman"/>
          <w:sz w:val="28"/>
          <w:szCs w:val="28"/>
          <w:lang w:eastAsia="zh-CN"/>
        </w:rPr>
        <w:t>。</w:t>
      </w:r>
    </w:p>
    <w:p>
      <w:pPr>
        <w:spacing w:line="574" w:lineRule="exact"/>
        <w:ind w:firstLine="600" w:firstLineChars="200"/>
        <w:jc w:val="both"/>
        <w:rPr>
          <w:rFonts w:ascii="黑体" w:hAnsi="黑体" w:eastAsia="黑体"/>
          <w:sz w:val="30"/>
          <w:szCs w:val="30"/>
          <w:lang w:eastAsia="zh-CN"/>
        </w:rPr>
      </w:pPr>
      <w:r>
        <w:rPr>
          <w:rFonts w:hint="eastAsia" w:ascii="黑体" w:hAnsi="黑体" w:eastAsia="黑体"/>
          <w:sz w:val="30"/>
          <w:szCs w:val="30"/>
          <w:lang w:eastAsia="zh-CN"/>
        </w:rPr>
        <w:t>二、评价情况</w:t>
      </w:r>
    </w:p>
    <w:p>
      <w:pPr>
        <w:spacing w:line="574" w:lineRule="exact"/>
        <w:ind w:firstLine="584" w:firstLineChars="200"/>
        <w:jc w:val="both"/>
        <w:rPr>
          <w:rFonts w:ascii="方正仿宋_GBK" w:eastAsia="方正仿宋_GBK"/>
          <w:spacing w:val="-4"/>
          <w:sz w:val="30"/>
          <w:szCs w:val="30"/>
          <w:lang w:eastAsia="zh-CN"/>
        </w:rPr>
      </w:pPr>
      <w:r>
        <w:rPr>
          <w:rFonts w:hint="eastAsia" w:ascii="方正仿宋_GBK" w:eastAsia="方正仿宋_GBK"/>
          <w:spacing w:val="-4"/>
          <w:sz w:val="30"/>
          <w:szCs w:val="30"/>
          <w:lang w:eastAsia="zh-CN"/>
        </w:rPr>
        <w:t>（一）项目特点分析。</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该债券资金用于基本建设项目的实施，项目投资规模大，且建设周期跨年度，通过项目的实施能够有效的增加耕作面积、提高粮食产能、改善农田生态和提升粮食品质。</w:t>
      </w:r>
    </w:p>
    <w:p>
      <w:pPr>
        <w:spacing w:line="574" w:lineRule="exact"/>
        <w:ind w:firstLine="584" w:firstLineChars="200"/>
        <w:jc w:val="both"/>
        <w:rPr>
          <w:rFonts w:ascii="方正仿宋_GBK" w:eastAsia="方正仿宋_GBK"/>
          <w:spacing w:val="-4"/>
          <w:sz w:val="30"/>
          <w:szCs w:val="30"/>
          <w:lang w:eastAsia="zh-CN"/>
        </w:rPr>
      </w:pPr>
      <w:r>
        <w:rPr>
          <w:rFonts w:hint="eastAsia" w:ascii="方正仿宋_GBK" w:eastAsia="方正仿宋_GBK"/>
          <w:spacing w:val="-4"/>
          <w:sz w:val="30"/>
          <w:szCs w:val="30"/>
          <w:lang w:eastAsia="zh-CN"/>
        </w:rPr>
        <w:t>（二）评价思路方法。</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项目评价主要关注项目的建设进度，项目在建设过程中遵守各项法律法规及管理制度的情况，项目建设的资金使用规范情况以及项目建设期间的效益等。项目评价的原则遵守客观。科学。公平的原则，主要采用因素分析法，从过程、产出、效益、满意度等方面对项目进行评价。</w:t>
      </w:r>
    </w:p>
    <w:p>
      <w:pPr>
        <w:spacing w:line="574" w:lineRule="exact"/>
        <w:ind w:firstLine="584" w:firstLineChars="200"/>
        <w:jc w:val="both"/>
        <w:rPr>
          <w:rFonts w:ascii="方正仿宋_GBK" w:eastAsia="方正仿宋_GBK"/>
          <w:spacing w:val="-4"/>
          <w:sz w:val="30"/>
          <w:szCs w:val="30"/>
          <w:lang w:eastAsia="zh-CN"/>
        </w:rPr>
      </w:pPr>
      <w:r>
        <w:rPr>
          <w:rFonts w:hint="eastAsia" w:ascii="方正仿宋_GBK" w:eastAsia="方正仿宋_GBK"/>
          <w:spacing w:val="-4"/>
          <w:sz w:val="30"/>
          <w:szCs w:val="30"/>
          <w:lang w:eastAsia="zh-CN"/>
        </w:rPr>
        <w:t>（三）评价工作情况。</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在评价的过程中了解到项目在招投标阶段明确了项目财务及工程管理的相关制度，实施过程中紧紧围绕制度及目标进行跟踪和管理，对于涉及重大调整的内容及时上报或上会研究决定，完成相应的审批手续。项目各参建单位配备专门的人员，对工程招投标；项目涉及、施工、监理等前期资料以及项目实施过程的资料及时进行了分类归档。</w:t>
      </w:r>
    </w:p>
    <w:p>
      <w:pPr>
        <w:spacing w:line="574" w:lineRule="exact"/>
        <w:ind w:firstLine="600" w:firstLineChars="200"/>
        <w:jc w:val="both"/>
        <w:rPr>
          <w:rFonts w:ascii="仿宋_GB2312" w:hAnsi="Calibri" w:eastAsia="仿宋_GB2312" w:cs="Times New Roman"/>
          <w:sz w:val="28"/>
          <w:szCs w:val="28"/>
          <w:lang w:eastAsia="zh-CN"/>
        </w:rPr>
      </w:pPr>
      <w:r>
        <w:rPr>
          <w:rFonts w:hint="eastAsia" w:ascii="方正仿宋_GBK" w:eastAsia="方正仿宋_GBK"/>
          <w:sz w:val="30"/>
          <w:szCs w:val="30"/>
          <w:lang w:eastAsia="zh-CN"/>
        </w:rPr>
        <w:t>（四）绩效评价结论。</w:t>
      </w:r>
      <w:r>
        <w:rPr>
          <w:rFonts w:hint="eastAsia" w:ascii="仿宋_GB2312" w:hAnsi="Calibri" w:eastAsia="仿宋_GB2312" w:cs="Times New Roman"/>
          <w:sz w:val="28"/>
          <w:szCs w:val="28"/>
          <w:lang w:eastAsia="zh-CN"/>
        </w:rPr>
        <w:t>本项目从立项到建设的全过程均按照各项管理制度有序推进，项目建设规范有序，目前该项目处于建设施工阶段。该项目考核评价分值100分，自评分值</w:t>
      </w:r>
      <w:r>
        <w:rPr>
          <w:rFonts w:hint="eastAsia" w:ascii="仿宋_GB2312" w:hAnsi="Calibri" w:eastAsia="仿宋_GB2312" w:cs="Times New Roman"/>
          <w:sz w:val="28"/>
          <w:szCs w:val="28"/>
          <w:lang w:val="en-US" w:eastAsia="zh-CN"/>
        </w:rPr>
        <w:t>90.4</w:t>
      </w:r>
      <w:r>
        <w:rPr>
          <w:rFonts w:hint="eastAsia" w:ascii="仿宋_GB2312" w:hAnsi="Calibri" w:eastAsia="仿宋_GB2312" w:cs="Times New Roman"/>
          <w:sz w:val="28"/>
          <w:szCs w:val="28"/>
          <w:lang w:eastAsia="zh-CN"/>
        </w:rPr>
        <w:t>分，绩效等级为</w:t>
      </w:r>
      <w:r>
        <w:rPr>
          <w:rFonts w:hint="eastAsia" w:ascii="仿宋_GB2312" w:hAnsi="Calibri" w:eastAsia="仿宋_GB2312" w:cs="Times New Roman"/>
          <w:sz w:val="28"/>
          <w:szCs w:val="28"/>
          <w:lang w:val="en-US" w:eastAsia="zh-CN"/>
        </w:rPr>
        <w:t>优</w:t>
      </w:r>
      <w:r>
        <w:rPr>
          <w:rFonts w:hint="eastAsia" w:ascii="仿宋_GB2312" w:hAnsi="Calibri" w:eastAsia="仿宋_GB2312" w:cs="Times New Roman"/>
          <w:sz w:val="28"/>
          <w:szCs w:val="28"/>
          <w:lang w:eastAsia="zh-CN"/>
        </w:rPr>
        <w:t>。</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各指标完成情况:</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1.过程</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lang w:val="en-US" w:eastAsia="zh-CN"/>
        </w:rPr>
        <w:t>1</w:t>
      </w:r>
      <w:r>
        <w:rPr>
          <w:rFonts w:hint="eastAsia" w:ascii="仿宋_GB2312" w:hAnsi="Calibri" w:eastAsia="仿宋_GB2312" w:cs="Times New Roman"/>
          <w:sz w:val="28"/>
          <w:szCs w:val="28"/>
          <w:lang w:eastAsia="zh-CN"/>
        </w:rPr>
        <w:t>）资金到位率:</w:t>
      </w:r>
      <w:r>
        <w:rPr>
          <w:rFonts w:hint="eastAsia" w:ascii="仿宋_GB2312" w:hAnsi="Calibri" w:eastAsia="仿宋_GB2312" w:cs="Times New Roman"/>
          <w:sz w:val="28"/>
          <w:szCs w:val="28"/>
          <w:lang w:val="en-US" w:eastAsia="zh-CN"/>
        </w:rPr>
        <w:t>指标</w:t>
      </w:r>
      <w:r>
        <w:rPr>
          <w:rFonts w:hint="eastAsia" w:ascii="仿宋_GB2312" w:hAnsi="Calibri" w:eastAsia="仿宋_GB2312" w:cs="Times New Roman"/>
          <w:sz w:val="28"/>
          <w:szCs w:val="28"/>
          <w:lang w:eastAsia="zh-CN"/>
        </w:rPr>
        <w:t>目标值100%，审核了预算指标通知单拨款凭证（从高新区到苏州</w:t>
      </w:r>
      <w:r>
        <w:rPr>
          <w:rFonts w:hint="eastAsia" w:ascii="仿宋_GB2312" w:hAnsi="Calibri" w:eastAsia="仿宋_GB2312" w:cs="Times New Roman"/>
          <w:sz w:val="28"/>
          <w:szCs w:val="28"/>
          <w:lang w:val="en-US" w:eastAsia="zh-CN"/>
        </w:rPr>
        <w:t>镇湖街道</w:t>
      </w:r>
      <w:r>
        <w:rPr>
          <w:rFonts w:hint="eastAsia" w:ascii="仿宋_GB2312" w:hAnsi="Calibri" w:eastAsia="仿宋_GB2312" w:cs="Times New Roman"/>
          <w:sz w:val="28"/>
          <w:szCs w:val="28"/>
          <w:lang w:eastAsia="zh-CN"/>
        </w:rPr>
        <w:t>财政，拨付到</w:t>
      </w:r>
      <w:r>
        <w:rPr>
          <w:rFonts w:hint="eastAsia" w:ascii="仿宋_GB2312" w:hAnsi="Calibri" w:eastAsia="仿宋_GB2312" w:cs="Times New Roman"/>
          <w:sz w:val="28"/>
          <w:szCs w:val="28"/>
          <w:lang w:val="en-US" w:eastAsia="zh-CN"/>
        </w:rPr>
        <w:t>苏州镇湖绿色食品有限公司</w:t>
      </w:r>
      <w:r>
        <w:rPr>
          <w:rFonts w:hint="eastAsia" w:ascii="仿宋_GB2312" w:hAnsi="Calibri" w:eastAsia="仿宋_GB2312" w:cs="Times New Roman"/>
          <w:sz w:val="28"/>
          <w:szCs w:val="28"/>
          <w:lang w:eastAsia="zh-CN"/>
        </w:rPr>
        <w:t>)，实际完成</w:t>
      </w:r>
      <w:r>
        <w:rPr>
          <w:rFonts w:hint="eastAsia" w:ascii="仿宋_GB2312" w:hAnsi="Calibri" w:eastAsia="仿宋_GB2312" w:cs="Times New Roman"/>
          <w:sz w:val="28"/>
          <w:szCs w:val="28"/>
          <w:lang w:val="en-US" w:eastAsia="zh-CN"/>
        </w:rPr>
        <w:t>值</w:t>
      </w:r>
      <w:r>
        <w:rPr>
          <w:rFonts w:hint="eastAsia" w:ascii="仿宋_GB2312" w:hAnsi="Calibri" w:eastAsia="仿宋_GB2312" w:cs="Times New Roman"/>
          <w:sz w:val="28"/>
          <w:szCs w:val="28"/>
          <w:lang w:eastAsia="zh-CN"/>
        </w:rPr>
        <w:t>100%;</w:t>
      </w:r>
    </w:p>
    <w:p>
      <w:pPr>
        <w:spacing w:line="574" w:lineRule="exact"/>
        <w:ind w:firstLine="560" w:firstLineChars="200"/>
        <w:jc w:val="both"/>
        <w:rPr>
          <w:rFonts w:hint="eastAsia" w:ascii="仿宋_GB2312" w:hAnsi="Calibri" w:eastAsia="仿宋_GB2312" w:cs="Times New Roman"/>
          <w:sz w:val="28"/>
          <w:szCs w:val="28"/>
          <w:highlight w:val="none"/>
          <w:lang w:eastAsia="zh-CN"/>
        </w:rPr>
      </w:pP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lang w:val="en-US" w:eastAsia="zh-CN"/>
        </w:rPr>
        <w:t>2</w:t>
      </w:r>
      <w:r>
        <w:rPr>
          <w:rFonts w:hint="eastAsia" w:ascii="仿宋_GB2312" w:hAnsi="Calibri" w:eastAsia="仿宋_GB2312" w:cs="Times New Roman"/>
          <w:sz w:val="28"/>
          <w:szCs w:val="28"/>
          <w:lang w:eastAsia="zh-CN"/>
        </w:rPr>
        <w:t>）资金使用合规性:指标目标值合规，实际完成值</w:t>
      </w:r>
      <w:r>
        <w:rPr>
          <w:rFonts w:hint="eastAsia" w:ascii="仿宋_GB2312" w:hAnsi="Calibri" w:eastAsia="仿宋_GB2312" w:cs="Times New Roman"/>
          <w:sz w:val="28"/>
          <w:szCs w:val="28"/>
          <w:lang w:val="en-US" w:eastAsia="zh-CN"/>
        </w:rPr>
        <w:t>较</w:t>
      </w:r>
      <w:r>
        <w:rPr>
          <w:rFonts w:hint="eastAsia" w:ascii="仿宋_GB2312" w:hAnsi="Calibri" w:eastAsia="仿宋_GB2312" w:cs="Times New Roman"/>
          <w:sz w:val="28"/>
          <w:szCs w:val="28"/>
          <w:lang w:eastAsia="zh-CN"/>
        </w:rPr>
        <w:t>合规。</w:t>
      </w:r>
      <w:r>
        <w:rPr>
          <w:rFonts w:hint="eastAsia" w:ascii="仿宋_GB2312" w:hAnsi="Calibri" w:eastAsia="仿宋_GB2312" w:cs="Times New Roman"/>
          <w:sz w:val="28"/>
          <w:szCs w:val="28"/>
          <w:lang w:val="en-US" w:eastAsia="zh-CN"/>
        </w:rPr>
        <w:t>经核查，根据预算指标通知单</w:t>
      </w:r>
      <w:r>
        <w:rPr>
          <w:rFonts w:hint="eastAsia" w:ascii="仿宋_GB2312" w:hAnsi="Calibri" w:eastAsia="仿宋_GB2312" w:cs="Times New Roman"/>
          <w:sz w:val="28"/>
          <w:szCs w:val="28"/>
          <w:highlight w:val="none"/>
          <w:lang w:val="en-US" w:eastAsia="zh-CN"/>
        </w:rPr>
        <w:t>、拨款凭证、资金支出明细，得3.6分</w:t>
      </w:r>
      <w:r>
        <w:rPr>
          <w:rFonts w:hint="eastAsia" w:ascii="仿宋_GB2312" w:hAnsi="Calibri" w:eastAsia="仿宋_GB2312" w:cs="Times New Roman"/>
          <w:sz w:val="28"/>
          <w:szCs w:val="28"/>
          <w:highlight w:val="none"/>
          <w:lang w:eastAsia="zh-CN"/>
        </w:rPr>
        <w:t>。</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lang w:val="en-US" w:eastAsia="zh-CN"/>
        </w:rPr>
        <w:t>3</w:t>
      </w:r>
      <w:r>
        <w:rPr>
          <w:rFonts w:hint="eastAsia" w:ascii="仿宋_GB2312" w:hAnsi="Calibri" w:eastAsia="仿宋_GB2312" w:cs="Times New Roman"/>
          <w:sz w:val="28"/>
          <w:szCs w:val="28"/>
          <w:lang w:eastAsia="zh-CN"/>
        </w:rPr>
        <w:t>）资金执行率:目标值100%，审核了财政指标拨款通知单、财政直接支付凭证、财务明细账。经审查，苏州镇湖绿色食品发展有限公司银行回单、抽查苏州镇湖绿色食品发展有限公司支出凭证，</w:t>
      </w:r>
      <w:r>
        <w:rPr>
          <w:rFonts w:hint="eastAsia" w:ascii="仿宋_GB2312" w:hAnsi="Calibri" w:eastAsia="仿宋_GB2312" w:cs="Times New Roman"/>
          <w:sz w:val="28"/>
          <w:szCs w:val="28"/>
          <w:lang w:val="en-US" w:eastAsia="zh-CN"/>
        </w:rPr>
        <w:t>该指标资金执行率100%</w:t>
      </w:r>
      <w:r>
        <w:rPr>
          <w:rFonts w:hint="eastAsia" w:ascii="仿宋_GB2312" w:hAnsi="Calibri" w:eastAsia="仿宋_GB2312" w:cs="Times New Roman"/>
          <w:sz w:val="28"/>
          <w:szCs w:val="28"/>
          <w:lang w:eastAsia="zh-CN"/>
        </w:rPr>
        <w:t>。</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(4）管理制度健全性:目标值合规，</w:t>
      </w:r>
      <w:r>
        <w:rPr>
          <w:rFonts w:hint="eastAsia" w:ascii="仿宋_GB2312" w:hAnsi="Calibri" w:eastAsia="仿宋_GB2312" w:cs="Times New Roman"/>
          <w:sz w:val="28"/>
          <w:szCs w:val="28"/>
          <w:lang w:val="en-US" w:eastAsia="zh-CN"/>
        </w:rPr>
        <w:t>根据</w:t>
      </w:r>
      <w:r>
        <w:rPr>
          <w:rFonts w:hint="eastAsia" w:ascii="仿宋_GB2312" w:hAnsi="Calibri" w:eastAsia="仿宋_GB2312" w:cs="Times New Roman"/>
          <w:sz w:val="28"/>
          <w:szCs w:val="28"/>
          <w:lang w:eastAsia="zh-CN"/>
        </w:rPr>
        <w:t>《关于印发〈苏州西部生态旅游度假区（镇湖街道）工程建设项目管理办法（2022版）〉的通知》（苏西管办〔2022〕2号）；参照《关于印发苏州高新区、虎丘区政府性债务管理暂行办法的通知》（苏高新管〔2017〕85号）、《管委会（区政府）关于印发苏州高新区镇级债务分类管理实施方案的通知》（苏高新管〔2019〕143号）、《苏州高新区政府专项债券项目资金绩效管理暂行办法》(苏高新财〔2022〕72号)、《关于明确苏州高新区公开招标数额标准以下的工程政府采购有关问题的通知》（苏财购〔2017〕84号）等。经审查，有适用于本项目的财务管理和业务管理制度，故管理制度健全。</w:t>
      </w:r>
    </w:p>
    <w:p>
      <w:pPr>
        <w:spacing w:line="574" w:lineRule="exact"/>
        <w:ind w:firstLine="560" w:firstLineChars="200"/>
        <w:jc w:val="both"/>
        <w:rPr>
          <w:rFonts w:ascii="仿宋_GB2312" w:hAnsi="Calibri" w:eastAsia="仿宋_GB2312" w:cs="Times New Roman"/>
          <w:sz w:val="28"/>
          <w:szCs w:val="28"/>
          <w:highlight w:val="yellow"/>
          <w:lang w:eastAsia="zh-CN"/>
        </w:rPr>
      </w:pP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highlight w:val="none"/>
          <w:lang w:eastAsia="zh-CN"/>
        </w:rPr>
        <w:t>5）制度执行有效性:目标值有效，实际完成值</w:t>
      </w:r>
      <w:r>
        <w:rPr>
          <w:rFonts w:hint="eastAsia" w:ascii="仿宋_GB2312" w:hAnsi="Calibri" w:eastAsia="仿宋_GB2312" w:cs="Times New Roman"/>
          <w:sz w:val="28"/>
          <w:szCs w:val="28"/>
          <w:highlight w:val="none"/>
          <w:lang w:val="en-US" w:eastAsia="zh-CN"/>
        </w:rPr>
        <w:t>较</w:t>
      </w:r>
      <w:r>
        <w:rPr>
          <w:rFonts w:hint="eastAsia" w:ascii="仿宋_GB2312" w:hAnsi="Calibri" w:eastAsia="仿宋_GB2312" w:cs="Times New Roman"/>
          <w:sz w:val="28"/>
          <w:szCs w:val="28"/>
          <w:highlight w:val="none"/>
          <w:lang w:eastAsia="zh-CN"/>
        </w:rPr>
        <w:t>有效。审核了相关环节制度执行情况，场地整理项目合同中</w:t>
      </w:r>
      <w:r>
        <w:rPr>
          <w:rFonts w:hint="eastAsia" w:ascii="仿宋_GB2312" w:hAnsi="Calibri" w:eastAsia="仿宋_GB2312" w:cs="Times New Roman"/>
          <w:sz w:val="28"/>
          <w:szCs w:val="28"/>
          <w:highlight w:val="none"/>
          <w:lang w:val="en-US" w:eastAsia="zh-CN"/>
        </w:rPr>
        <w:t>部分条款不明确</w:t>
      </w:r>
      <w:bookmarkStart w:id="0" w:name="_GoBack"/>
      <w:bookmarkEnd w:id="0"/>
      <w:r>
        <w:rPr>
          <w:rFonts w:hint="eastAsia" w:ascii="仿宋_GB2312" w:hAnsi="Calibri" w:eastAsia="仿宋_GB2312" w:cs="Times New Roman"/>
          <w:sz w:val="28"/>
          <w:szCs w:val="28"/>
          <w:highlight w:val="none"/>
          <w:lang w:eastAsia="zh-CN"/>
        </w:rPr>
        <w:t>，</w:t>
      </w:r>
      <w:r>
        <w:rPr>
          <w:rFonts w:hint="eastAsia" w:ascii="仿宋_GB2312" w:hAnsi="Calibri" w:eastAsia="仿宋_GB2312" w:cs="Times New Roman"/>
          <w:sz w:val="28"/>
          <w:szCs w:val="28"/>
          <w:highlight w:val="none"/>
          <w:lang w:val="en-US" w:eastAsia="zh-CN"/>
        </w:rPr>
        <w:t>故得3.6分</w:t>
      </w:r>
      <w:r>
        <w:rPr>
          <w:rFonts w:hint="eastAsia" w:ascii="仿宋_GB2312" w:hAnsi="Calibri" w:eastAsia="仿宋_GB2312" w:cs="Times New Roman"/>
          <w:sz w:val="28"/>
          <w:szCs w:val="28"/>
          <w:highlight w:val="none"/>
          <w:lang w:eastAsia="zh-CN"/>
        </w:rPr>
        <w:t>。</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2.产出</w:t>
      </w:r>
    </w:p>
    <w:p>
      <w:pPr>
        <w:spacing w:line="574" w:lineRule="exact"/>
        <w:ind w:firstLine="560" w:firstLineChars="200"/>
        <w:jc w:val="both"/>
        <w:rPr>
          <w:rFonts w:hint="default" w:ascii="仿宋_GB2312" w:hAnsi="Calibri" w:eastAsia="仿宋_GB2312" w:cs="Times New Roman"/>
          <w:sz w:val="28"/>
          <w:szCs w:val="28"/>
          <w:lang w:val="en-US" w:eastAsia="zh-CN"/>
        </w:rPr>
      </w:pP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lang w:val="en-US" w:eastAsia="zh-CN"/>
        </w:rPr>
        <w:t>1</w:t>
      </w:r>
      <w:r>
        <w:rPr>
          <w:rFonts w:hint="eastAsia" w:ascii="仿宋_GB2312" w:hAnsi="Calibri" w:eastAsia="仿宋_GB2312" w:cs="Times New Roman"/>
          <w:sz w:val="28"/>
          <w:szCs w:val="28"/>
          <w:lang w:eastAsia="zh-CN"/>
        </w:rPr>
        <w:t>）项目开工至23年年底高标准农田建成面积大于800亩:目标值</w:t>
      </w:r>
      <w:r>
        <w:rPr>
          <w:rFonts w:hint="eastAsia" w:ascii="仿宋_GB2312" w:hAnsi="Calibri" w:eastAsia="仿宋_GB2312" w:cs="Times New Roman"/>
          <w:sz w:val="28"/>
          <w:szCs w:val="28"/>
          <w:lang w:val="en-US" w:eastAsia="zh-CN"/>
        </w:rPr>
        <w:t>完成</w:t>
      </w: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lang w:val="en-US" w:eastAsia="zh-CN"/>
        </w:rPr>
        <w:t>根据</w:t>
      </w:r>
      <w:r>
        <w:rPr>
          <w:rFonts w:hint="eastAsia" w:ascii="仿宋_GB2312" w:hAnsi="Calibri" w:eastAsia="仿宋_GB2312" w:cs="Times New Roman"/>
          <w:sz w:val="28"/>
          <w:szCs w:val="28"/>
          <w:lang w:eastAsia="zh-CN"/>
        </w:rPr>
        <w:t>竣工验收证书（东区）苏州高新区镇湖街道西京湾高标准农田建设项目(东区)完成高标准农田建设面积815亩，</w:t>
      </w:r>
      <w:r>
        <w:rPr>
          <w:rFonts w:hint="eastAsia" w:ascii="仿宋_GB2312" w:hAnsi="Calibri" w:eastAsia="仿宋_GB2312" w:cs="Times New Roman"/>
          <w:sz w:val="28"/>
          <w:szCs w:val="28"/>
          <w:lang w:val="en-US" w:eastAsia="zh-CN"/>
        </w:rPr>
        <w:t>完成目标值。</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lang w:val="en-US" w:eastAsia="zh-CN"/>
        </w:rPr>
        <w:t>2</w:t>
      </w:r>
      <w:r>
        <w:rPr>
          <w:rFonts w:hint="eastAsia" w:ascii="仿宋_GB2312" w:hAnsi="Calibri" w:eastAsia="仿宋_GB2312" w:cs="Times New Roman"/>
          <w:sz w:val="28"/>
          <w:szCs w:val="28"/>
          <w:lang w:eastAsia="zh-CN"/>
        </w:rPr>
        <w:t>）监理工作开展率:目标值100%，</w:t>
      </w:r>
      <w:r>
        <w:rPr>
          <w:rFonts w:hint="eastAsia" w:ascii="仿宋_GB2312" w:hAnsi="Calibri" w:eastAsia="仿宋_GB2312" w:cs="Times New Roman"/>
          <w:sz w:val="28"/>
          <w:szCs w:val="28"/>
          <w:lang w:val="en-US" w:eastAsia="zh-CN"/>
        </w:rPr>
        <w:t>查看</w:t>
      </w:r>
      <w:r>
        <w:rPr>
          <w:rFonts w:hint="eastAsia" w:ascii="仿宋_GB2312" w:hAnsi="Calibri" w:eastAsia="仿宋_GB2312" w:cs="Times New Roman"/>
          <w:sz w:val="28"/>
          <w:szCs w:val="28"/>
          <w:lang w:eastAsia="zh-CN"/>
        </w:rPr>
        <w:t>监理工作总结、监理月报、监理会议纪要等。完成率100%。</w:t>
      </w:r>
    </w:p>
    <w:p>
      <w:pPr>
        <w:spacing w:line="574" w:lineRule="exact"/>
        <w:ind w:firstLine="560" w:firstLineChars="200"/>
        <w:jc w:val="both"/>
        <w:rPr>
          <w:rFonts w:hint="eastAsia" w:ascii="仿宋_GB2312" w:hAnsi="Calibri" w:eastAsia="仿宋_GB2312" w:cs="Times New Roman"/>
          <w:sz w:val="28"/>
          <w:szCs w:val="28"/>
          <w:lang w:val="en-US" w:eastAsia="zh-CN"/>
        </w:rPr>
      </w:pP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lang w:val="en-US" w:eastAsia="zh-CN"/>
        </w:rPr>
        <w:t>3</w:t>
      </w:r>
      <w:r>
        <w:rPr>
          <w:rFonts w:hint="eastAsia" w:ascii="仿宋_GB2312" w:hAnsi="Calibri" w:eastAsia="仿宋_GB2312" w:cs="Times New Roman"/>
          <w:sz w:val="28"/>
          <w:szCs w:val="28"/>
          <w:lang w:eastAsia="zh-CN"/>
        </w:rPr>
        <w:t>）工程总体进度达到80%:指标目标值</w:t>
      </w:r>
      <w:r>
        <w:rPr>
          <w:rFonts w:hint="eastAsia" w:ascii="仿宋_GB2312" w:hAnsi="Calibri" w:eastAsia="仿宋_GB2312" w:cs="Times New Roman"/>
          <w:sz w:val="28"/>
          <w:szCs w:val="28"/>
          <w:lang w:val="en-US" w:eastAsia="zh-CN"/>
        </w:rPr>
        <w:t>完成</w:t>
      </w: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lang w:val="en-US" w:eastAsia="zh-CN"/>
        </w:rPr>
        <w:t>根据支出凭证、竣工验收证书（东区、西区）、竣工结算审核审计报告，工程总体进度为83.1%，完成目标值。</w:t>
      </w:r>
    </w:p>
    <w:p>
      <w:pPr>
        <w:spacing w:line="574" w:lineRule="exact"/>
        <w:ind w:firstLine="560" w:firstLineChars="200"/>
        <w:jc w:val="both"/>
        <w:rPr>
          <w:rFonts w:hint="eastAsia"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w:t>
      </w:r>
      <w:r>
        <w:rPr>
          <w:rFonts w:hint="eastAsia" w:ascii="仿宋_GB2312" w:hAnsi="Calibri" w:eastAsia="仿宋_GB2312" w:cs="Times New Roman"/>
          <w:sz w:val="28"/>
          <w:szCs w:val="28"/>
          <w:lang w:val="en-US" w:eastAsia="zh-CN"/>
        </w:rPr>
        <w:t>4</w:t>
      </w:r>
      <w:r>
        <w:rPr>
          <w:rFonts w:hint="eastAsia" w:ascii="仿宋_GB2312" w:hAnsi="Calibri" w:eastAsia="仿宋_GB2312" w:cs="Times New Roman"/>
          <w:sz w:val="28"/>
          <w:szCs w:val="28"/>
          <w:lang w:eastAsia="zh-CN"/>
        </w:rPr>
        <w:t>）成本控制率:目标值100%，</w:t>
      </w:r>
      <w:r>
        <w:rPr>
          <w:rFonts w:hint="eastAsia" w:ascii="仿宋_GB2312" w:hAnsi="Calibri" w:eastAsia="仿宋_GB2312" w:cs="Times New Roman"/>
          <w:sz w:val="28"/>
          <w:szCs w:val="28"/>
          <w:lang w:val="en-US" w:eastAsia="zh-CN"/>
        </w:rPr>
        <w:t>根据</w:t>
      </w:r>
      <w:r>
        <w:rPr>
          <w:rFonts w:hint="eastAsia" w:ascii="仿宋_GB2312" w:hAnsi="Calibri" w:eastAsia="仿宋_GB2312" w:cs="Times New Roman"/>
          <w:sz w:val="28"/>
          <w:szCs w:val="28"/>
          <w:lang w:eastAsia="zh-CN"/>
        </w:rPr>
        <w:t>《关于&lt;关于审批苏州高新区镇湖街道西京湾高标准农田建设项目初步设计的请示&gt;的批复》（苏高新城乡〔2022〕138号）、资金使用情况统计表。项目己发生成本未超概算，但项目决算未完成，无法评价成本控制情况。故得6.4分。</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3.效益</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 1）当年利息支付率:指标目标值100%，实际完成值100%。经核查财政直接支付凭证、新增专项债券需缴入非税明细表、利息上缴银行回单（含手续费），利息已上缴高新区非税收入财政汇缴专户，故利息支付率100%。</w:t>
      </w:r>
    </w:p>
    <w:p>
      <w:pPr>
        <w:numPr>
          <w:ilvl w:val="0"/>
          <w:numId w:val="2"/>
        </w:numPr>
        <w:spacing w:line="574" w:lineRule="exact"/>
        <w:ind w:firstLine="560" w:firstLineChars="200"/>
        <w:jc w:val="both"/>
        <w:rPr>
          <w:rFonts w:hint="eastAsia"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农民工工资专户开率:指标目标值100%，实际完成值100%。银行开户证明。经核查，本项目已开通苏州大通工程建设有限公司高新区西京湾项目农民工工资专用账户。</w:t>
      </w:r>
    </w:p>
    <w:p>
      <w:pPr>
        <w:numPr>
          <w:ilvl w:val="0"/>
          <w:numId w:val="2"/>
        </w:num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环保事件发生率:目标值0起，当年度未有环保事件通报，目标值完成;</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( 4）重大安全事故发生率:目标值0起，当年度未有重大安全事故通报，目标值完成。</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4.满意度</w:t>
      </w:r>
    </w:p>
    <w:p>
      <w:pPr>
        <w:spacing w:line="574" w:lineRule="exact"/>
        <w:ind w:firstLine="560" w:firstLineChars="200"/>
        <w:jc w:val="both"/>
        <w:rPr>
          <w:rFonts w:hint="eastAsia"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周边居民满意度:目标值90%，满意度调查问卷，样本量共</w:t>
      </w:r>
      <w:r>
        <w:rPr>
          <w:rFonts w:hint="eastAsia" w:ascii="仿宋_GB2312" w:hAnsi="Calibri" w:eastAsia="仿宋_GB2312" w:cs="Times New Roman"/>
          <w:sz w:val="28"/>
          <w:szCs w:val="28"/>
          <w:lang w:val="en-US" w:eastAsia="zh-CN"/>
        </w:rPr>
        <w:t>15</w:t>
      </w:r>
      <w:r>
        <w:rPr>
          <w:rFonts w:hint="eastAsia" w:ascii="仿宋_GB2312" w:hAnsi="Calibri" w:eastAsia="仿宋_GB2312" w:cs="Times New Roman"/>
          <w:sz w:val="28"/>
          <w:szCs w:val="28"/>
          <w:lang w:eastAsia="zh-CN"/>
        </w:rPr>
        <w:t>份，从高标准农田建设总体效果、高标准农田灌溉便利情况、高标准农田生产条件改善效果等方面是否满意进行调查，满意度为9</w:t>
      </w:r>
      <w:r>
        <w:rPr>
          <w:rFonts w:hint="eastAsia" w:ascii="仿宋_GB2312" w:hAnsi="Calibri" w:eastAsia="仿宋_GB2312" w:cs="Times New Roman"/>
          <w:sz w:val="28"/>
          <w:szCs w:val="28"/>
          <w:lang w:val="en-US" w:eastAsia="zh-CN"/>
        </w:rPr>
        <w:t>5</w:t>
      </w:r>
      <w:r>
        <w:rPr>
          <w:rFonts w:hint="eastAsia" w:ascii="仿宋_GB2312" w:hAnsi="Calibri" w:eastAsia="仿宋_GB2312" w:cs="Times New Roman"/>
          <w:sz w:val="28"/>
          <w:szCs w:val="28"/>
          <w:lang w:eastAsia="zh-CN"/>
        </w:rPr>
        <w:t>%。</w:t>
      </w:r>
    </w:p>
    <w:p>
      <w:pPr>
        <w:spacing w:line="574" w:lineRule="exact"/>
        <w:ind w:firstLine="600" w:firstLineChars="200"/>
        <w:jc w:val="both"/>
        <w:rPr>
          <w:rFonts w:ascii="方正仿宋_GBK" w:eastAsia="方正仿宋_GBK"/>
          <w:sz w:val="30"/>
          <w:szCs w:val="30"/>
          <w:lang w:eastAsia="zh-CN"/>
        </w:rPr>
      </w:pPr>
      <w:r>
        <w:rPr>
          <w:rFonts w:hint="eastAsia" w:ascii="方正仿宋_GBK" w:eastAsia="方正仿宋_GBK"/>
          <w:sz w:val="30"/>
          <w:szCs w:val="30"/>
          <w:lang w:eastAsia="zh-CN"/>
        </w:rPr>
        <w:t>三、项目绩效</w:t>
      </w:r>
    </w:p>
    <w:p>
      <w:pPr>
        <w:spacing w:line="574" w:lineRule="exact"/>
        <w:ind w:firstLine="560" w:firstLineChars="200"/>
        <w:jc w:val="both"/>
        <w:rPr>
          <w:rFonts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本项目按照专项债资金的管理使用办法等，建立较健全的资金管理、支付审核等相关资金管理制度，严格专款专用于高标准农田项目的建设，及时完成工程款结算和农民工工资支付，按规定报送资金使用进度和项目投资情况。</w:t>
      </w:r>
    </w:p>
    <w:p>
      <w:pPr>
        <w:spacing w:line="574" w:lineRule="exact"/>
        <w:ind w:firstLine="600" w:firstLineChars="200"/>
        <w:jc w:val="both"/>
        <w:rPr>
          <w:rFonts w:ascii="方正仿宋_GBK" w:eastAsia="方正仿宋_GBK"/>
          <w:sz w:val="30"/>
          <w:szCs w:val="30"/>
          <w:lang w:eastAsia="zh-CN"/>
        </w:rPr>
      </w:pPr>
      <w:r>
        <w:rPr>
          <w:rFonts w:hint="eastAsia" w:ascii="方正仿宋_GBK" w:eastAsia="方正仿宋_GBK"/>
          <w:sz w:val="30"/>
          <w:szCs w:val="30"/>
          <w:lang w:eastAsia="zh-CN"/>
        </w:rPr>
        <w:t>四、存在问题</w:t>
      </w:r>
    </w:p>
    <w:p>
      <w:pPr>
        <w:spacing w:line="574" w:lineRule="exact"/>
        <w:ind w:firstLine="560" w:firstLineChars="200"/>
        <w:jc w:val="both"/>
        <w:rPr>
          <w:rFonts w:hint="eastAsia"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（1）个别指标设置不合理。如“成本控制率”指标目标值设置较为笼统，实际完成情况不易界定。</w:t>
      </w:r>
    </w:p>
    <w:p>
      <w:pPr>
        <w:spacing w:line="574" w:lineRule="exact"/>
        <w:ind w:firstLine="560" w:firstLineChars="200"/>
        <w:jc w:val="both"/>
        <w:rPr>
          <w:rFonts w:hint="eastAsia" w:ascii="仿宋_GB2312" w:hAnsi="Calibri" w:eastAsia="仿宋_GB2312" w:cs="Times New Roman"/>
          <w:sz w:val="28"/>
          <w:szCs w:val="28"/>
          <w:lang w:eastAsia="zh-CN"/>
        </w:rPr>
      </w:pPr>
      <w:r>
        <w:rPr>
          <w:rFonts w:hint="eastAsia" w:ascii="仿宋_GB2312" w:hAnsi="Calibri" w:eastAsia="仿宋_GB2312" w:cs="Times New Roman"/>
          <w:sz w:val="28"/>
          <w:szCs w:val="28"/>
          <w:lang w:eastAsia="zh-CN"/>
        </w:rPr>
        <w:t>（2）部分指标及目标值设定模糊。如产出指标中的数量指标“项目开工至 23 年年底高标准农田建成面积大于 800 亩”目标值为“完成”。</w:t>
      </w:r>
    </w:p>
    <w:p>
      <w:pPr>
        <w:spacing w:line="574" w:lineRule="exact"/>
        <w:ind w:firstLine="600" w:firstLineChars="200"/>
        <w:jc w:val="both"/>
        <w:rPr>
          <w:rFonts w:hint="eastAsia" w:ascii="方正仿宋_GBK" w:eastAsia="方正仿宋_GBK"/>
          <w:sz w:val="30"/>
          <w:szCs w:val="30"/>
          <w:lang w:val="en-US" w:eastAsia="zh-CN"/>
        </w:rPr>
      </w:pPr>
      <w:r>
        <w:rPr>
          <w:rFonts w:hint="eastAsia" w:ascii="方正仿宋_GBK" w:eastAsia="方正仿宋_GBK"/>
          <w:sz w:val="30"/>
          <w:szCs w:val="30"/>
          <w:lang w:val="en-US" w:eastAsia="zh-CN"/>
        </w:rPr>
        <w:t>五、有关建议</w:t>
      </w:r>
    </w:p>
    <w:p>
      <w:pPr>
        <w:pStyle w:val="2"/>
        <w:keepNext w:val="0"/>
        <w:keepLines w:val="0"/>
        <w:pageBreakBefore w:val="0"/>
        <w:widowControl w:val="0"/>
        <w:kinsoku/>
        <w:wordWrap/>
        <w:overflowPunct/>
        <w:topLinePunct w:val="0"/>
        <w:autoSpaceDE/>
        <w:autoSpaceDN/>
        <w:bidi w:val="0"/>
        <w:adjustRightInd/>
        <w:snapToGrid/>
        <w:spacing w:before="0" w:line="360" w:lineRule="auto"/>
        <w:ind w:left="119" w:firstLine="560" w:firstLineChars="200"/>
        <w:textAlignment w:val="auto"/>
        <w:rPr>
          <w:rFonts w:hint="eastAsia" w:ascii="仿宋_GB2312" w:hAnsi="Calibri" w:eastAsia="仿宋_GB2312" w:cs="Times New Roman"/>
          <w:sz w:val="28"/>
          <w:szCs w:val="28"/>
          <w:lang w:val="en-US" w:eastAsia="zh-CN" w:bidi="ar-SA"/>
        </w:rPr>
      </w:pPr>
      <w:r>
        <w:rPr>
          <w:rFonts w:hint="eastAsia" w:ascii="仿宋" w:hAnsi="仿宋" w:eastAsia="仿宋" w:cs="仿宋"/>
          <w:b w:val="0"/>
          <w:bCs w:val="0"/>
          <w:sz w:val="28"/>
          <w:szCs w:val="28"/>
          <w:lang w:val="en-US" w:eastAsia="zh-CN"/>
        </w:rPr>
        <w:t>（</w:t>
      </w:r>
      <w:r>
        <w:rPr>
          <w:rFonts w:hint="eastAsia" w:ascii="仿宋_GB2312" w:hAnsi="Calibri" w:eastAsia="仿宋_GB2312" w:cs="Times New Roman"/>
          <w:sz w:val="28"/>
          <w:szCs w:val="28"/>
          <w:lang w:val="en-US" w:eastAsia="zh-CN" w:bidi="ar-SA"/>
        </w:rPr>
        <w:t>1）认真做好调研工作，科学地规划和制定项目绩效目标值，使年度绩效目标值与实际完成情况相符。</w:t>
      </w:r>
    </w:p>
    <w:p>
      <w:pPr>
        <w:pStyle w:val="2"/>
        <w:keepNext w:val="0"/>
        <w:keepLines w:val="0"/>
        <w:pageBreakBefore w:val="0"/>
        <w:widowControl w:val="0"/>
        <w:kinsoku/>
        <w:wordWrap/>
        <w:overflowPunct/>
        <w:topLinePunct w:val="0"/>
        <w:autoSpaceDE/>
        <w:autoSpaceDN/>
        <w:bidi w:val="0"/>
        <w:adjustRightInd/>
        <w:snapToGrid/>
        <w:spacing w:before="0" w:line="360" w:lineRule="auto"/>
        <w:ind w:left="119" w:firstLine="560" w:firstLineChars="200"/>
        <w:textAlignment w:val="auto"/>
        <w:rPr>
          <w:rFonts w:hint="eastAsia" w:ascii="仿宋" w:hAnsi="仿宋" w:eastAsia="仿宋" w:cs="仿宋"/>
          <w:b w:val="0"/>
          <w:bCs w:val="0"/>
          <w:sz w:val="28"/>
          <w:szCs w:val="28"/>
          <w:lang w:val="en-US" w:eastAsia="zh-CN"/>
        </w:rPr>
      </w:pPr>
      <w:r>
        <w:rPr>
          <w:rFonts w:hint="eastAsia" w:ascii="仿宋_GB2312" w:hAnsi="Calibri" w:eastAsia="仿宋_GB2312" w:cs="Times New Roman"/>
          <w:sz w:val="28"/>
          <w:szCs w:val="28"/>
          <w:lang w:val="en-US" w:eastAsia="zh-CN" w:bidi="ar-SA"/>
        </w:rPr>
        <w:t>（2）完善自评价过程，在未来相关建设项目开展过程中，科学设置绩效目标，提高专项债券绩效管理水平。</w:t>
      </w:r>
    </w:p>
    <w:p>
      <w:pPr>
        <w:spacing w:line="574" w:lineRule="exact"/>
        <w:ind w:firstLine="560" w:firstLineChars="200"/>
        <w:jc w:val="both"/>
        <w:rPr>
          <w:rFonts w:ascii="仿宋_GB2312" w:hAnsi="Calibri" w:eastAsia="仿宋_GB2312" w:cs="Times New Roman"/>
          <w:sz w:val="28"/>
          <w:szCs w:val="28"/>
          <w:lang w:eastAsia="zh-CN"/>
        </w:rPr>
      </w:pPr>
    </w:p>
    <w:sectPr>
      <w:type w:val="continuous"/>
      <w:pgSz w:w="11910" w:h="16840"/>
      <w:pgMar w:top="2098" w:right="1474" w:bottom="1984"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黑体_GBK">
    <w:altName w:val="Arial Unicode MS"/>
    <w:panose1 w:val="00000000000000000000"/>
    <w:charset w:val="86"/>
    <w:family w:val="swiss"/>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方正仿宋_GBK">
    <w:altName w:val="Arial Unicode MS"/>
    <w:panose1 w:val="00000000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6D11C2"/>
    <w:multiLevelType w:val="multilevel"/>
    <w:tmpl w:val="286D11C2"/>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6FC3ADE5"/>
    <w:multiLevelType w:val="singleLevel"/>
    <w:tmpl w:val="6FC3ADE5"/>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zllMGRiMmY0Nzk2ZDg0ZDE2NjUyMWZlOGYxNjYzNmYifQ=="/>
  </w:docVars>
  <w:rsids>
    <w:rsidRoot w:val="006A0286"/>
    <w:rsid w:val="0000186F"/>
    <w:rsid w:val="00027842"/>
    <w:rsid w:val="0007212D"/>
    <w:rsid w:val="00093384"/>
    <w:rsid w:val="000F0010"/>
    <w:rsid w:val="001076FD"/>
    <w:rsid w:val="00112A3C"/>
    <w:rsid w:val="0012335B"/>
    <w:rsid w:val="001D43CE"/>
    <w:rsid w:val="001E1F08"/>
    <w:rsid w:val="001F5652"/>
    <w:rsid w:val="002034C4"/>
    <w:rsid w:val="00223670"/>
    <w:rsid w:val="002832F1"/>
    <w:rsid w:val="002A3C29"/>
    <w:rsid w:val="002F39B9"/>
    <w:rsid w:val="00317F35"/>
    <w:rsid w:val="003D4D43"/>
    <w:rsid w:val="00412A90"/>
    <w:rsid w:val="00427AA3"/>
    <w:rsid w:val="00453872"/>
    <w:rsid w:val="00485FCA"/>
    <w:rsid w:val="00496584"/>
    <w:rsid w:val="004B1555"/>
    <w:rsid w:val="004E3E98"/>
    <w:rsid w:val="004F2889"/>
    <w:rsid w:val="00541FD2"/>
    <w:rsid w:val="0055497B"/>
    <w:rsid w:val="0058181F"/>
    <w:rsid w:val="005C5968"/>
    <w:rsid w:val="005D094F"/>
    <w:rsid w:val="005D61F8"/>
    <w:rsid w:val="006032DC"/>
    <w:rsid w:val="006A0286"/>
    <w:rsid w:val="006F1257"/>
    <w:rsid w:val="006F2AB8"/>
    <w:rsid w:val="00705B52"/>
    <w:rsid w:val="0072674E"/>
    <w:rsid w:val="007416BA"/>
    <w:rsid w:val="0075652D"/>
    <w:rsid w:val="00784065"/>
    <w:rsid w:val="007A754E"/>
    <w:rsid w:val="007E484C"/>
    <w:rsid w:val="00830C91"/>
    <w:rsid w:val="00857DEC"/>
    <w:rsid w:val="008C735A"/>
    <w:rsid w:val="008D7527"/>
    <w:rsid w:val="008F6FC9"/>
    <w:rsid w:val="00926E98"/>
    <w:rsid w:val="0095504B"/>
    <w:rsid w:val="009946AD"/>
    <w:rsid w:val="009B2D68"/>
    <w:rsid w:val="00A14DE2"/>
    <w:rsid w:val="00A72387"/>
    <w:rsid w:val="00A863A2"/>
    <w:rsid w:val="00AA24DC"/>
    <w:rsid w:val="00AA30FF"/>
    <w:rsid w:val="00AC1BA9"/>
    <w:rsid w:val="00AC69E3"/>
    <w:rsid w:val="00B14C89"/>
    <w:rsid w:val="00B33955"/>
    <w:rsid w:val="00BD1F01"/>
    <w:rsid w:val="00CB64D3"/>
    <w:rsid w:val="00D20830"/>
    <w:rsid w:val="00D71C46"/>
    <w:rsid w:val="00D855DD"/>
    <w:rsid w:val="00D85F96"/>
    <w:rsid w:val="00DE067D"/>
    <w:rsid w:val="00DE10E5"/>
    <w:rsid w:val="00DF053C"/>
    <w:rsid w:val="00E1011A"/>
    <w:rsid w:val="00E3505D"/>
    <w:rsid w:val="00E70A55"/>
    <w:rsid w:val="00EB03FD"/>
    <w:rsid w:val="00ED06B2"/>
    <w:rsid w:val="00EF65E3"/>
    <w:rsid w:val="00F161C4"/>
    <w:rsid w:val="00F35A70"/>
    <w:rsid w:val="00F4202D"/>
    <w:rsid w:val="00FB5E7E"/>
    <w:rsid w:val="00FC405A"/>
    <w:rsid w:val="00FC7877"/>
    <w:rsid w:val="015552D6"/>
    <w:rsid w:val="0192652E"/>
    <w:rsid w:val="01DD3C4D"/>
    <w:rsid w:val="02E447C7"/>
    <w:rsid w:val="06654211"/>
    <w:rsid w:val="07B70A9C"/>
    <w:rsid w:val="0B04224A"/>
    <w:rsid w:val="0B204BAA"/>
    <w:rsid w:val="0B36617C"/>
    <w:rsid w:val="0B3F3282"/>
    <w:rsid w:val="0C0B7609"/>
    <w:rsid w:val="0C721436"/>
    <w:rsid w:val="0C936A4B"/>
    <w:rsid w:val="107A2CA1"/>
    <w:rsid w:val="108D4A90"/>
    <w:rsid w:val="11390774"/>
    <w:rsid w:val="11C77FD0"/>
    <w:rsid w:val="12163310"/>
    <w:rsid w:val="12415B32"/>
    <w:rsid w:val="13182014"/>
    <w:rsid w:val="133631BD"/>
    <w:rsid w:val="14952165"/>
    <w:rsid w:val="15CE592F"/>
    <w:rsid w:val="1639291E"/>
    <w:rsid w:val="1658169C"/>
    <w:rsid w:val="19033B41"/>
    <w:rsid w:val="1A1E7D0E"/>
    <w:rsid w:val="1B054D9B"/>
    <w:rsid w:val="1B6B3C20"/>
    <w:rsid w:val="1CF739BD"/>
    <w:rsid w:val="1E360515"/>
    <w:rsid w:val="1FA81FB4"/>
    <w:rsid w:val="2082228A"/>
    <w:rsid w:val="209D487B"/>
    <w:rsid w:val="23D83E1C"/>
    <w:rsid w:val="247104F9"/>
    <w:rsid w:val="27B01338"/>
    <w:rsid w:val="29F80D74"/>
    <w:rsid w:val="2B30453E"/>
    <w:rsid w:val="2BC058C2"/>
    <w:rsid w:val="2BF437BD"/>
    <w:rsid w:val="2C6B3A80"/>
    <w:rsid w:val="2E5A3DAC"/>
    <w:rsid w:val="2FC75471"/>
    <w:rsid w:val="2FEC4ED7"/>
    <w:rsid w:val="31AF440F"/>
    <w:rsid w:val="325925CC"/>
    <w:rsid w:val="32911D66"/>
    <w:rsid w:val="32BD0DAD"/>
    <w:rsid w:val="32F522F5"/>
    <w:rsid w:val="331217FF"/>
    <w:rsid w:val="335C05C6"/>
    <w:rsid w:val="3511718E"/>
    <w:rsid w:val="36681030"/>
    <w:rsid w:val="383A69FC"/>
    <w:rsid w:val="39353925"/>
    <w:rsid w:val="3F165ACD"/>
    <w:rsid w:val="3FAE7895"/>
    <w:rsid w:val="411E6EBB"/>
    <w:rsid w:val="43140575"/>
    <w:rsid w:val="43195B8C"/>
    <w:rsid w:val="433429C6"/>
    <w:rsid w:val="4339622E"/>
    <w:rsid w:val="43A55671"/>
    <w:rsid w:val="45971EFA"/>
    <w:rsid w:val="45B95404"/>
    <w:rsid w:val="467F03FC"/>
    <w:rsid w:val="4B95246F"/>
    <w:rsid w:val="4C082C41"/>
    <w:rsid w:val="4DBB59DF"/>
    <w:rsid w:val="4DC91166"/>
    <w:rsid w:val="5277467D"/>
    <w:rsid w:val="5661367A"/>
    <w:rsid w:val="571E156B"/>
    <w:rsid w:val="5B2D4472"/>
    <w:rsid w:val="5BA364E3"/>
    <w:rsid w:val="5C4E1BEB"/>
    <w:rsid w:val="5DE828D3"/>
    <w:rsid w:val="5E40626B"/>
    <w:rsid w:val="5F3F6522"/>
    <w:rsid w:val="5FCE2808"/>
    <w:rsid w:val="63CC1360"/>
    <w:rsid w:val="644F6CB1"/>
    <w:rsid w:val="65085608"/>
    <w:rsid w:val="6543389A"/>
    <w:rsid w:val="66293A88"/>
    <w:rsid w:val="67A87782"/>
    <w:rsid w:val="68633281"/>
    <w:rsid w:val="68DB72BC"/>
    <w:rsid w:val="69036813"/>
    <w:rsid w:val="69CF4947"/>
    <w:rsid w:val="6AB0131A"/>
    <w:rsid w:val="6B7C455F"/>
    <w:rsid w:val="6CF22E26"/>
    <w:rsid w:val="6DE07122"/>
    <w:rsid w:val="718F3339"/>
    <w:rsid w:val="73430037"/>
    <w:rsid w:val="7464128A"/>
    <w:rsid w:val="74FA4F6E"/>
    <w:rsid w:val="7553467E"/>
    <w:rsid w:val="75AD70BD"/>
    <w:rsid w:val="75C94940"/>
    <w:rsid w:val="75FC6AC3"/>
    <w:rsid w:val="76B15B00"/>
    <w:rsid w:val="7C7A6994"/>
    <w:rsid w:val="7CEA3B1A"/>
    <w:rsid w:val="7FC24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sz w:val="22"/>
      <w:szCs w:val="22"/>
      <w:lang w:val="en-US" w:eastAsia="en-US" w:bidi="ar-SA"/>
    </w:rPr>
  </w:style>
  <w:style w:type="paragraph" w:styleId="3">
    <w:name w:val="heading 1"/>
    <w:basedOn w:val="1"/>
    <w:next w:val="1"/>
    <w:qFormat/>
    <w:uiPriority w:val="1"/>
    <w:pPr>
      <w:ind w:left="100"/>
      <w:outlineLvl w:val="0"/>
    </w:pPr>
    <w:rPr>
      <w:rFonts w:ascii="宋体" w:hAnsi="宋体" w:eastAsia="宋体"/>
      <w:sz w:val="36"/>
      <w:szCs w:val="36"/>
    </w:rPr>
  </w:style>
  <w:style w:type="paragraph" w:styleId="4">
    <w:name w:val="heading 2"/>
    <w:basedOn w:val="1"/>
    <w:next w:val="1"/>
    <w:qFormat/>
    <w:uiPriority w:val="1"/>
    <w:pPr>
      <w:ind w:left="-21" w:firstLine="2592"/>
      <w:outlineLvl w:val="1"/>
    </w:pPr>
    <w:rPr>
      <w:rFonts w:ascii="宋体" w:hAnsi="宋体" w:eastAsia="宋体"/>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spacing w:before="207"/>
      <w:ind w:left="120"/>
    </w:pPr>
    <w:rPr>
      <w:rFonts w:ascii="宋体" w:hAnsi="宋体" w:eastAsia="宋体"/>
      <w:sz w:val="30"/>
      <w:szCs w:val="30"/>
    </w:rPr>
  </w:style>
  <w:style w:type="paragraph" w:styleId="5">
    <w:name w:val="footer"/>
    <w:basedOn w:val="1"/>
    <w:link w:val="16"/>
    <w:unhideWhenUsed/>
    <w:qFormat/>
    <w:uiPriority w:val="99"/>
    <w:pPr>
      <w:tabs>
        <w:tab w:val="center" w:pos="4153"/>
        <w:tab w:val="right" w:pos="8306"/>
      </w:tabs>
      <w:snapToGrid w:val="0"/>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Subtitle"/>
    <w:basedOn w:val="1"/>
    <w:next w:val="1"/>
    <w:qFormat/>
    <w:uiPriority w:val="0"/>
    <w:pPr>
      <w:ind w:firstLine="200" w:firstLineChars="200"/>
      <w:jc w:val="left"/>
      <w:outlineLvl w:val="2"/>
    </w:pPr>
    <w:rPr>
      <w:rFonts w:ascii="Cambria" w:hAnsi="Cambria" w:eastAsia="黑体"/>
      <w:bCs/>
      <w:kern w:val="28"/>
      <w:sz w:val="28"/>
      <w:szCs w:val="32"/>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style>
  <w:style w:type="paragraph" w:customStyle="1" w:styleId="13">
    <w:name w:val="Table Paragraph"/>
    <w:basedOn w:val="1"/>
    <w:qFormat/>
    <w:uiPriority w:val="1"/>
  </w:style>
  <w:style w:type="paragraph" w:customStyle="1" w:styleId="14">
    <w:name w:val="Default"/>
    <w:qFormat/>
    <w:uiPriority w:val="0"/>
    <w:pPr>
      <w:widowControl w:val="0"/>
      <w:autoSpaceDE w:val="0"/>
      <w:autoSpaceDN w:val="0"/>
      <w:adjustRightInd w:val="0"/>
    </w:pPr>
    <w:rPr>
      <w:rFonts w:ascii="方正黑体_GBK" w:hAnsi="方正黑体_GBK" w:cs="方正黑体_GBK" w:eastAsiaTheme="minorEastAsia"/>
      <w:color w:val="000000"/>
      <w:sz w:val="24"/>
      <w:szCs w:val="24"/>
      <w:lang w:val="en-US" w:eastAsia="en-US" w:bidi="ar-SA"/>
    </w:rPr>
  </w:style>
  <w:style w:type="character" w:customStyle="1" w:styleId="15">
    <w:name w:val="页眉 Char"/>
    <w:basedOn w:val="10"/>
    <w:link w:val="6"/>
    <w:qFormat/>
    <w:uiPriority w:val="99"/>
    <w:rPr>
      <w:sz w:val="18"/>
      <w:szCs w:val="18"/>
    </w:rPr>
  </w:style>
  <w:style w:type="character" w:customStyle="1" w:styleId="16">
    <w:name w:val="页脚 Char"/>
    <w:basedOn w:val="10"/>
    <w:link w:val="5"/>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2632</Words>
  <Characters>2776</Characters>
  <Lines>16</Lines>
  <Paragraphs>4</Paragraphs>
  <TotalTime>0</TotalTime>
  <ScaleCrop>false</ScaleCrop>
  <LinksUpToDate>false</LinksUpToDate>
  <CharactersWithSpaces>2782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2023-04-19T04:55:00Z</dcterms:created>
  <dc:creator>张肖军(拟稿)</dc:creator>
  <cp:lastModifiedBy>企业用户_1335966583</cp:lastModifiedBy>
  <dcterms:modified xsi:type="dcterms:W3CDTF">2024-06-26T06:04:10Z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Adobe Acrobat Pro 11.0.7</vt:lpwstr>
  </property>
  <property fmtid="{D5CDD505-2E9C-101B-9397-08002B2CF9AE}" pid="4" name="LastSaved">
    <vt:filetime>2021-08-19T00:00:00Z</vt:filetime>
  </property>
  <property fmtid="{D5CDD505-2E9C-101B-9397-08002B2CF9AE}" pid="5" name="KSOProductBuildVer">
    <vt:lpwstr>2052-12.1.0.16929</vt:lpwstr>
  </property>
  <property fmtid="{D5CDD505-2E9C-101B-9397-08002B2CF9AE}" pid="6" name="ICV">
    <vt:lpwstr>6110B7415DC740C58185CD86345CBEB1</vt:lpwstr>
  </property>
</Properties>
</file>