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1503B1">
      <w:pPr>
        <w:keepNext w:val="0"/>
        <w:keepLines w:val="0"/>
        <w:pageBreakBefore w:val="0"/>
        <w:widowControl w:val="0"/>
        <w:kinsoku/>
        <w:wordWrap/>
        <w:overflowPunct/>
        <w:topLinePunct w:val="0"/>
        <w:autoSpaceDE/>
        <w:autoSpaceDN/>
        <w:bidi w:val="0"/>
        <w:adjustRightInd w:val="0"/>
        <w:snapToGrid w:val="0"/>
        <w:spacing w:line="568" w:lineRule="exact"/>
        <w:jc w:val="center"/>
        <w:textAlignment w:val="auto"/>
        <w:rPr>
          <w:rFonts w:hint="eastAsia" w:ascii="方正小标宋_GBK" w:hAnsi="Calibri" w:eastAsia="方正小标宋_GBK" w:cs="Times New Roman"/>
          <w:kern w:val="2"/>
          <w:sz w:val="44"/>
          <w:szCs w:val="44"/>
          <w:lang w:eastAsia="zh-CN"/>
        </w:rPr>
      </w:pPr>
      <w:r>
        <w:rPr>
          <w:rFonts w:hint="eastAsia" w:ascii="方正小标宋_GBK" w:hAnsi="Calibri" w:eastAsia="方正小标宋_GBK" w:cs="Times New Roman"/>
          <w:kern w:val="2"/>
          <w:sz w:val="44"/>
          <w:szCs w:val="44"/>
          <w:lang w:eastAsia="zh-CN"/>
        </w:rPr>
        <w:t>江苏省政府专项债券项目绩效自评价报告</w:t>
      </w:r>
    </w:p>
    <w:p w14:paraId="233F838B">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（苏州大学附属第二医院浒关院区二期工程项目）</w:t>
      </w:r>
    </w:p>
    <w:p w14:paraId="4D525E11">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eastAsia" w:ascii="仿宋_GB2312" w:eastAsia="仿宋_GB2312"/>
          <w:sz w:val="32"/>
          <w:szCs w:val="32"/>
          <w:lang w:val="en-US" w:eastAsia="zh-CN"/>
        </w:rPr>
      </w:pPr>
    </w:p>
    <w:p w14:paraId="2C8A8E9A">
      <w:pPr>
        <w:keepNext w:val="0"/>
        <w:keepLines w:val="0"/>
        <w:pageBreakBefore w:val="0"/>
        <w:widowControl w:val="0"/>
        <w:numPr>
          <w:ilvl w:val="0"/>
          <w:numId w:val="1"/>
        </w:numPr>
        <w:kinsoku/>
        <w:wordWrap/>
        <w:overflowPunct/>
        <w:topLinePunct w:val="0"/>
        <w:autoSpaceDE/>
        <w:autoSpaceDN/>
        <w:bidi w:val="0"/>
        <w:adjustRightInd/>
        <w:snapToGrid/>
        <w:spacing w:line="568" w:lineRule="exact"/>
        <w:ind w:firstLine="640" w:firstLineChars="200"/>
        <w:jc w:val="left"/>
        <w:textAlignment w:val="auto"/>
        <w:rPr>
          <w:rFonts w:hint="eastAsia" w:ascii="黑体" w:hAnsi="黑体" w:eastAsia="黑体" w:cs="Times New Roman"/>
          <w:kern w:val="2"/>
          <w:sz w:val="32"/>
          <w:szCs w:val="32"/>
          <w:lang w:val="en-US" w:eastAsia="zh-CN"/>
        </w:rPr>
      </w:pPr>
      <w:r>
        <w:rPr>
          <w:rFonts w:hint="eastAsia" w:ascii="黑体" w:hAnsi="黑体" w:eastAsia="黑体" w:cs="Times New Roman"/>
          <w:kern w:val="2"/>
          <w:sz w:val="32"/>
          <w:szCs w:val="32"/>
          <w:lang w:val="en-US" w:eastAsia="zh-CN"/>
        </w:rPr>
        <w:t>项目基本情况</w:t>
      </w:r>
      <w:bookmarkStart w:id="0" w:name="_GoBack"/>
      <w:bookmarkEnd w:id="0"/>
    </w:p>
    <w:p w14:paraId="6767A8FC">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3" w:firstLineChars="200"/>
        <w:jc w:val="left"/>
        <w:textAlignment w:val="auto"/>
        <w:rPr>
          <w:rFonts w:hint="eastAsia" w:ascii="楷体_GB2312" w:hAnsi="黑体" w:eastAsia="楷体_GB2312" w:cs="Times New Roman"/>
          <w:b/>
          <w:kern w:val="2"/>
          <w:sz w:val="32"/>
          <w:szCs w:val="32"/>
          <w:lang w:val="en-US" w:eastAsia="zh-CN"/>
        </w:rPr>
      </w:pPr>
      <w:r>
        <w:rPr>
          <w:rFonts w:hint="eastAsia" w:ascii="楷体_GB2312" w:hAnsi="黑体" w:eastAsia="楷体_GB2312" w:cs="Times New Roman"/>
          <w:b/>
          <w:kern w:val="2"/>
          <w:sz w:val="32"/>
          <w:szCs w:val="32"/>
          <w:lang w:val="en-US" w:eastAsia="zh-CN"/>
        </w:rPr>
        <w:t>（一）项目概况</w:t>
      </w:r>
    </w:p>
    <w:p w14:paraId="5D2E50CB">
      <w:pPr>
        <w:keepNext w:val="0"/>
        <w:keepLines w:val="0"/>
        <w:pageBreakBefore w:val="0"/>
        <w:widowControl w:val="0"/>
        <w:kinsoku/>
        <w:wordWrap/>
        <w:overflowPunct/>
        <w:topLinePunct w:val="0"/>
        <w:autoSpaceDE/>
        <w:autoSpaceDN/>
        <w:bidi w:val="0"/>
        <w:adjustRightInd/>
        <w:snapToGrid/>
        <w:spacing w:line="568" w:lineRule="exact"/>
        <w:ind w:firstLine="643" w:firstLineChars="200"/>
        <w:jc w:val="left"/>
        <w:textAlignment w:val="auto"/>
        <w:rPr>
          <w:rFonts w:hint="eastAsia" w:ascii="仿宋_GB2312" w:hAnsi="黑体" w:eastAsia="仿宋_GB2312" w:cs="Times New Roman"/>
          <w:b/>
          <w:kern w:val="2"/>
          <w:sz w:val="32"/>
          <w:szCs w:val="32"/>
          <w:lang w:val="en-US" w:eastAsia="zh-CN"/>
        </w:rPr>
      </w:pPr>
      <w:r>
        <w:rPr>
          <w:rFonts w:hint="eastAsia" w:ascii="仿宋_GB2312" w:hAnsi="黑体" w:eastAsia="仿宋_GB2312" w:cs="Times New Roman"/>
          <w:b/>
          <w:kern w:val="2"/>
          <w:sz w:val="32"/>
          <w:szCs w:val="32"/>
          <w:lang w:val="en-US" w:eastAsia="zh-CN"/>
        </w:rPr>
        <w:t>1.项目背景</w:t>
      </w:r>
    </w:p>
    <w:p w14:paraId="4C3A9311">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近些年以来，我国公共医疗卫生事业取得了长足发展，但工业化、城镇化以及社会供需矛盾转变等新问题、新因素的出现，对我国公共医疗卫生事业提出了更高的要求。特别在</w:t>
      </w:r>
      <w:r>
        <w:rPr>
          <w:rFonts w:ascii="仿宋_GB2312" w:eastAsia="仿宋_GB2312"/>
          <w:sz w:val="32"/>
          <w:szCs w:val="32"/>
        </w:rPr>
        <w:t>2020</w:t>
      </w:r>
      <w:r>
        <w:rPr>
          <w:rFonts w:hint="eastAsia" w:ascii="仿宋_GB2312" w:eastAsia="仿宋_GB2312"/>
          <w:sz w:val="32"/>
          <w:szCs w:val="32"/>
        </w:rPr>
        <w:t>年“新冠肺炎”疫情</w:t>
      </w:r>
      <w:r>
        <w:rPr>
          <w:rFonts w:hint="eastAsia" w:ascii="仿宋_GB2312" w:eastAsia="仿宋_GB2312"/>
          <w:sz w:val="32"/>
          <w:szCs w:val="32"/>
          <w:lang w:val="en-US" w:eastAsia="zh-CN"/>
        </w:rPr>
        <w:t>后</w:t>
      </w:r>
      <w:r>
        <w:rPr>
          <w:rFonts w:hint="eastAsia" w:ascii="仿宋_GB2312" w:eastAsia="仿宋_GB2312"/>
          <w:sz w:val="32"/>
          <w:szCs w:val="32"/>
        </w:rPr>
        <w:t>，面对新的形势和挑战，公共医疗卫生事业必须</w:t>
      </w:r>
      <w:r>
        <w:rPr>
          <w:rFonts w:hint="eastAsia" w:ascii="仿宋_GB2312" w:eastAsia="仿宋_GB2312"/>
          <w:sz w:val="32"/>
          <w:szCs w:val="32"/>
          <w:lang w:val="en-US" w:eastAsia="zh-CN"/>
        </w:rPr>
        <w:t>跟</w:t>
      </w:r>
      <w:r>
        <w:rPr>
          <w:rFonts w:hint="eastAsia" w:ascii="仿宋_GB2312" w:eastAsia="仿宋_GB2312"/>
          <w:sz w:val="32"/>
          <w:szCs w:val="32"/>
        </w:rPr>
        <w:t>上社会发展的步伐，进一步加强建设，适应新形势新发展的需要，满足国家和</w:t>
      </w:r>
      <w:r>
        <w:rPr>
          <w:rFonts w:hint="eastAsia" w:ascii="仿宋_GB2312" w:eastAsia="仿宋_GB2312"/>
          <w:sz w:val="32"/>
          <w:szCs w:val="32"/>
          <w:lang w:val="en-US" w:eastAsia="zh-CN"/>
        </w:rPr>
        <w:t>人民</w:t>
      </w:r>
      <w:r>
        <w:rPr>
          <w:rFonts w:hint="eastAsia" w:ascii="仿宋_GB2312" w:eastAsia="仿宋_GB2312"/>
          <w:sz w:val="32"/>
          <w:szCs w:val="32"/>
        </w:rPr>
        <w:t>所需。医院是公益性社会福利事业，患者至上，一切从病人出发，扩大社会效益始终是医院遵循的最高原则。因此本工程无论从工程设计，还是医院管理角度都要注意合理安排和有效使用有限的卫生资源，缩短流程，降低能耗，提高效率，使医院的人力、物力、财力达到合理消耗，获得最大的医疗服务效益，创造最大的社会效益。本项目的建设担负着医疗、教学、科研和预防任务，建成后，将促进医院上述功能的更好发挥。</w:t>
      </w:r>
    </w:p>
    <w:p w14:paraId="28CBA5AB">
      <w:pPr>
        <w:keepNext w:val="0"/>
        <w:keepLines w:val="0"/>
        <w:pageBreakBefore w:val="0"/>
        <w:widowControl w:val="0"/>
        <w:kinsoku/>
        <w:wordWrap/>
        <w:overflowPunct/>
        <w:topLinePunct w:val="0"/>
        <w:autoSpaceDE/>
        <w:autoSpaceDN/>
        <w:bidi w:val="0"/>
        <w:adjustRightInd/>
        <w:snapToGrid/>
        <w:spacing w:line="568" w:lineRule="exact"/>
        <w:ind w:firstLine="643" w:firstLineChars="200"/>
        <w:jc w:val="left"/>
        <w:textAlignment w:val="auto"/>
        <w:rPr>
          <w:rFonts w:hint="default" w:ascii="仿宋_GB2312" w:hAnsi="黑体" w:eastAsia="仿宋_GB2312" w:cs="Times New Roman"/>
          <w:b/>
          <w:kern w:val="2"/>
          <w:sz w:val="32"/>
          <w:szCs w:val="32"/>
          <w:lang w:val="en-US" w:eastAsia="zh-CN"/>
        </w:rPr>
      </w:pPr>
      <w:r>
        <w:rPr>
          <w:rFonts w:hint="eastAsia" w:ascii="仿宋_GB2312" w:hAnsi="黑体" w:eastAsia="仿宋_GB2312" w:cs="Times New Roman"/>
          <w:b/>
          <w:kern w:val="2"/>
          <w:sz w:val="32"/>
          <w:szCs w:val="32"/>
          <w:lang w:val="en-US" w:eastAsia="zh-CN"/>
        </w:rPr>
        <w:t>2.主要内容</w:t>
      </w:r>
    </w:p>
    <w:p w14:paraId="40E721AB">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rPr>
        <w:t>苏州大学附属第二医院浒关院区二期工程项目</w:t>
      </w:r>
      <w:r>
        <w:rPr>
          <w:rFonts w:hint="eastAsia" w:ascii="仿宋_GB2312" w:eastAsia="仿宋_GB2312"/>
          <w:sz w:val="32"/>
          <w:szCs w:val="32"/>
          <w:lang w:eastAsia="zh-CN"/>
        </w:rPr>
        <w:t>（</w:t>
      </w:r>
      <w:r>
        <w:rPr>
          <w:rFonts w:hint="eastAsia" w:ascii="仿宋_GB2312" w:eastAsia="仿宋_GB2312"/>
          <w:sz w:val="32"/>
          <w:szCs w:val="32"/>
          <w:lang w:val="en-US" w:eastAsia="zh-CN"/>
        </w:rPr>
        <w:t>以下简称“项目”</w:t>
      </w:r>
      <w:r>
        <w:rPr>
          <w:rFonts w:hint="eastAsia" w:ascii="仿宋_GB2312" w:eastAsia="仿宋_GB2312"/>
          <w:sz w:val="32"/>
          <w:szCs w:val="32"/>
          <w:lang w:eastAsia="zh-CN"/>
        </w:rPr>
        <w:t>）</w:t>
      </w:r>
      <w:r>
        <w:rPr>
          <w:rFonts w:hint="eastAsia" w:ascii="仿宋_GB2312" w:eastAsia="仿宋_GB2312"/>
          <w:sz w:val="32"/>
          <w:szCs w:val="32"/>
          <w:lang w:val="en-US" w:eastAsia="zh-CN"/>
        </w:rPr>
        <w:t>发改委审批监管代码：2020-320544-84-03-572455。</w:t>
      </w:r>
      <w:r>
        <w:rPr>
          <w:rFonts w:hint="eastAsia" w:ascii="仿宋_GB2312" w:eastAsia="仿宋_GB2312"/>
          <w:sz w:val="32"/>
          <w:szCs w:val="32"/>
        </w:rPr>
        <w:t>项目投资总额：根据江苏省投资项目备案证</w:t>
      </w:r>
      <w:r>
        <w:rPr>
          <w:rFonts w:hint="eastAsia" w:ascii="仿宋_GB2312" w:eastAsia="仿宋_GB2312"/>
          <w:sz w:val="32"/>
          <w:szCs w:val="32"/>
          <w:lang w:eastAsia="zh-CN"/>
        </w:rPr>
        <w:t>（备案证号：苏浒管审项备〔2024〕79号），</w:t>
      </w:r>
      <w:r>
        <w:rPr>
          <w:rFonts w:hint="eastAsia" w:ascii="仿宋_GB2312" w:eastAsia="仿宋_GB2312"/>
          <w:sz w:val="32"/>
          <w:szCs w:val="32"/>
        </w:rPr>
        <w:t>项目总投资91,696.83万元</w:t>
      </w:r>
      <w:r>
        <w:rPr>
          <w:rFonts w:hint="eastAsia" w:ascii="仿宋_GB2312" w:eastAsia="仿宋_GB2312"/>
          <w:sz w:val="32"/>
          <w:szCs w:val="32"/>
          <w:lang w:eastAsia="zh-CN"/>
        </w:rPr>
        <w:t>。</w:t>
      </w:r>
    </w:p>
    <w:p w14:paraId="4B8BA446">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val="en-US" w:eastAsia="zh-CN"/>
        </w:rPr>
        <w:t>项目</w:t>
      </w:r>
      <w:r>
        <w:rPr>
          <w:rFonts w:hint="eastAsia" w:ascii="仿宋_GB2312" w:eastAsia="仿宋_GB2312"/>
          <w:sz w:val="32"/>
          <w:szCs w:val="32"/>
        </w:rPr>
        <w:t>主要建设内容：浒关二期工程用地面积27</w:t>
      </w:r>
      <w:r>
        <w:rPr>
          <w:rFonts w:hint="eastAsia" w:ascii="仿宋_GB2312" w:eastAsia="仿宋_GB2312"/>
          <w:sz w:val="32"/>
          <w:szCs w:val="32"/>
          <w:lang w:val="en-US" w:eastAsia="zh-CN"/>
        </w:rPr>
        <w:t>,</w:t>
      </w:r>
      <w:r>
        <w:rPr>
          <w:rFonts w:hint="eastAsia" w:ascii="仿宋_GB2312" w:eastAsia="仿宋_GB2312"/>
          <w:sz w:val="32"/>
          <w:szCs w:val="32"/>
        </w:rPr>
        <w:t>414.1㎡，总建筑面积100</w:t>
      </w:r>
      <w:r>
        <w:rPr>
          <w:rFonts w:hint="eastAsia" w:ascii="仿宋_GB2312" w:eastAsia="仿宋_GB2312"/>
          <w:sz w:val="32"/>
          <w:szCs w:val="32"/>
          <w:lang w:val="en-US" w:eastAsia="zh-CN"/>
        </w:rPr>
        <w:t>,</w:t>
      </w:r>
      <w:r>
        <w:rPr>
          <w:rFonts w:hint="eastAsia" w:ascii="仿宋_GB2312" w:eastAsia="仿宋_GB2312"/>
          <w:sz w:val="32"/>
          <w:szCs w:val="32"/>
        </w:rPr>
        <w:t>553㎡，其中地上建筑面积60</w:t>
      </w:r>
      <w:r>
        <w:rPr>
          <w:rFonts w:hint="eastAsia" w:ascii="仿宋_GB2312" w:eastAsia="仿宋_GB2312"/>
          <w:sz w:val="32"/>
          <w:szCs w:val="32"/>
          <w:lang w:val="en-US" w:eastAsia="zh-CN"/>
        </w:rPr>
        <w:t>,</w:t>
      </w:r>
      <w:r>
        <w:rPr>
          <w:rFonts w:hint="eastAsia" w:ascii="仿宋_GB2312" w:eastAsia="仿宋_GB2312"/>
          <w:sz w:val="32"/>
          <w:szCs w:val="32"/>
        </w:rPr>
        <w:t>859.78㎡，地下建筑面积39</w:t>
      </w:r>
      <w:r>
        <w:rPr>
          <w:rFonts w:hint="eastAsia" w:ascii="仿宋_GB2312" w:eastAsia="仿宋_GB2312"/>
          <w:sz w:val="32"/>
          <w:szCs w:val="32"/>
          <w:lang w:val="en-US" w:eastAsia="zh-CN"/>
        </w:rPr>
        <w:t>,</w:t>
      </w:r>
      <w:r>
        <w:rPr>
          <w:rFonts w:hint="eastAsia" w:ascii="仿宋_GB2312" w:eastAsia="仿宋_GB2312"/>
          <w:sz w:val="32"/>
          <w:szCs w:val="32"/>
        </w:rPr>
        <w:t>693.22㎡。此外敷设给水、雨污水、热力、电力、等红线内管线，并进行建筑周边的道路、绿化工程</w:t>
      </w:r>
      <w:r>
        <w:rPr>
          <w:rFonts w:hint="eastAsia" w:ascii="仿宋_GB2312" w:eastAsia="仿宋_GB2312"/>
          <w:sz w:val="32"/>
          <w:szCs w:val="32"/>
          <w:lang w:eastAsia="zh-CN"/>
        </w:rPr>
        <w:t>。</w:t>
      </w:r>
    </w:p>
    <w:p w14:paraId="0E2549F0">
      <w:pPr>
        <w:keepNext w:val="0"/>
        <w:keepLines w:val="0"/>
        <w:pageBreakBefore w:val="0"/>
        <w:widowControl w:val="0"/>
        <w:kinsoku/>
        <w:wordWrap/>
        <w:overflowPunct/>
        <w:topLinePunct w:val="0"/>
        <w:autoSpaceDE/>
        <w:autoSpaceDN/>
        <w:bidi w:val="0"/>
        <w:adjustRightInd/>
        <w:snapToGrid/>
        <w:spacing w:line="568" w:lineRule="exact"/>
        <w:ind w:firstLine="643" w:firstLineChars="200"/>
        <w:jc w:val="left"/>
        <w:textAlignment w:val="auto"/>
        <w:rPr>
          <w:rFonts w:hint="eastAsia" w:ascii="仿宋_GB2312" w:hAnsi="黑体" w:eastAsia="仿宋_GB2312" w:cs="Times New Roman"/>
          <w:b/>
          <w:kern w:val="2"/>
          <w:sz w:val="32"/>
          <w:szCs w:val="32"/>
          <w:lang w:val="en-US" w:eastAsia="zh-CN"/>
        </w:rPr>
      </w:pPr>
      <w:r>
        <w:rPr>
          <w:rFonts w:hint="eastAsia" w:ascii="仿宋_GB2312" w:hAnsi="黑体" w:eastAsia="仿宋_GB2312" w:cs="Times New Roman"/>
          <w:b/>
          <w:kern w:val="2"/>
          <w:sz w:val="32"/>
          <w:szCs w:val="32"/>
          <w:lang w:val="en-US" w:eastAsia="zh-CN"/>
        </w:rPr>
        <w:t>3.资金投入和使用情况</w:t>
      </w:r>
    </w:p>
    <w:p w14:paraId="0B2A51B2">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止至2024年12月底，项目累计完成总投资80,762.80万元，其中：建筑安装工程77,498.55万元,待摊费用3,264.25万元。项目累计支付资金59,358.05万元，其中：政府专项债券14,000万元，财政拨款26,000万元，自筹资金19,358.05万元。</w:t>
      </w:r>
    </w:p>
    <w:p w14:paraId="74A4256B">
      <w:pPr>
        <w:keepNext w:val="0"/>
        <w:keepLines w:val="0"/>
        <w:pageBreakBefore w:val="0"/>
        <w:widowControl w:val="0"/>
        <w:kinsoku/>
        <w:wordWrap/>
        <w:overflowPunct/>
        <w:topLinePunct w:val="0"/>
        <w:autoSpaceDE/>
        <w:autoSpaceDN/>
        <w:bidi w:val="0"/>
        <w:adjustRightInd/>
        <w:snapToGrid/>
        <w:spacing w:line="568" w:lineRule="exact"/>
        <w:ind w:firstLine="643" w:firstLineChars="200"/>
        <w:jc w:val="left"/>
        <w:textAlignment w:val="auto"/>
        <w:rPr>
          <w:rFonts w:hint="eastAsia" w:ascii="仿宋_GB2312" w:hAnsi="黑体" w:eastAsia="仿宋_GB2312" w:cs="Times New Roman"/>
          <w:b/>
          <w:kern w:val="2"/>
          <w:sz w:val="32"/>
          <w:szCs w:val="32"/>
          <w:lang w:val="en-US" w:eastAsia="zh-CN"/>
        </w:rPr>
      </w:pPr>
      <w:r>
        <w:rPr>
          <w:rFonts w:hint="eastAsia" w:ascii="仿宋_GB2312" w:hAnsi="黑体" w:eastAsia="仿宋_GB2312" w:cs="Times New Roman"/>
          <w:b/>
          <w:kern w:val="2"/>
          <w:sz w:val="32"/>
          <w:szCs w:val="32"/>
          <w:lang w:val="en-US" w:eastAsia="zh-CN"/>
        </w:rPr>
        <w:t>4.专项债券基本情况</w:t>
      </w:r>
    </w:p>
    <w:p w14:paraId="7D50C126">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default" w:ascii="仿宋_GB2312" w:hAnsi="仿宋_GB2312" w:eastAsia="仿宋_GB2312" w:cs="仿宋_GB2312"/>
          <w:b w:val="0"/>
          <w:kern w:val="0"/>
          <w:sz w:val="32"/>
          <w:szCs w:val="32"/>
          <w:lang w:val="en-US" w:eastAsia="zh-CN"/>
        </w:rPr>
      </w:pPr>
      <w:r>
        <w:rPr>
          <w:rFonts w:hint="eastAsia" w:ascii="仿宋_GB2312" w:hAnsi="仿宋_GB2312" w:eastAsia="仿宋_GB2312" w:cs="仿宋_GB2312"/>
          <w:b w:val="0"/>
          <w:kern w:val="0"/>
          <w:sz w:val="32"/>
          <w:szCs w:val="32"/>
          <w:lang w:val="en-US" w:eastAsia="zh-CN"/>
        </w:rPr>
        <w:t>苏州大学附属第二医院浒关院区二期项目列入2024年江苏省城镇建设专项债券（二期）-2024年江苏省政府专项债券（五期）和2024年江苏省城镇建设专项债券（四期）-2024年江苏省政府专项债券（十四期），项目主管单位为苏州高新区（虎丘区）社会事业局，专项债券发行金额14,000万元，分两次发行，发行期限分别为10年和15年，发行利率分别为2.31%和2.17%。</w:t>
      </w:r>
    </w:p>
    <w:p w14:paraId="7A098CCC">
      <w:pPr>
        <w:keepNext w:val="0"/>
        <w:keepLines w:val="0"/>
        <w:pageBreakBefore w:val="0"/>
        <w:widowControl w:val="0"/>
        <w:kinsoku/>
        <w:wordWrap/>
        <w:overflowPunct/>
        <w:topLinePunct w:val="0"/>
        <w:autoSpaceDE/>
        <w:autoSpaceDN/>
        <w:bidi w:val="0"/>
        <w:adjustRightInd/>
        <w:snapToGrid/>
        <w:spacing w:line="568" w:lineRule="exact"/>
        <w:ind w:firstLine="643" w:firstLineChars="200"/>
        <w:jc w:val="left"/>
        <w:textAlignment w:val="auto"/>
        <w:rPr>
          <w:rFonts w:hint="eastAsia" w:ascii="仿宋_GB2312" w:hAnsi="黑体" w:eastAsia="仿宋_GB2312" w:cs="Times New Roman"/>
          <w:b/>
          <w:kern w:val="2"/>
          <w:sz w:val="32"/>
          <w:szCs w:val="32"/>
          <w:lang w:val="en-US" w:eastAsia="zh-CN"/>
        </w:rPr>
      </w:pPr>
      <w:r>
        <w:rPr>
          <w:rFonts w:hint="eastAsia" w:ascii="仿宋_GB2312" w:hAnsi="黑体" w:eastAsia="仿宋_GB2312" w:cs="Times New Roman"/>
          <w:b/>
          <w:kern w:val="2"/>
          <w:sz w:val="32"/>
          <w:szCs w:val="32"/>
          <w:lang w:val="en-US" w:eastAsia="zh-CN"/>
        </w:rPr>
        <w:t>5.项目建设期</w:t>
      </w:r>
    </w:p>
    <w:p w14:paraId="67C251AB">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项目建设周期42个月。</w:t>
      </w:r>
    </w:p>
    <w:p w14:paraId="05CA3B8B">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jc w:val="left"/>
        <w:textAlignment w:val="auto"/>
        <w:rPr>
          <w:rFonts w:hint="default" w:ascii="楷体_GB2312" w:hAnsi="黑体" w:eastAsia="楷体_GB2312" w:cs="Times New Roman"/>
          <w:b/>
          <w:kern w:val="2"/>
          <w:sz w:val="32"/>
          <w:szCs w:val="32"/>
          <w:lang w:val="en-US" w:eastAsia="zh-CN"/>
        </w:rPr>
      </w:pPr>
      <w:r>
        <w:rPr>
          <w:rFonts w:hint="eastAsia" w:ascii="楷体_GB2312" w:hAnsi="黑体" w:eastAsia="楷体_GB2312" w:cs="Times New Roman"/>
          <w:b/>
          <w:kern w:val="2"/>
          <w:sz w:val="32"/>
          <w:szCs w:val="32"/>
          <w:lang w:val="en-US" w:eastAsia="zh-CN"/>
        </w:rPr>
        <w:t>（二）绩效目标</w:t>
      </w:r>
    </w:p>
    <w:p w14:paraId="6AAAEDB3">
      <w:pPr>
        <w:keepNext w:val="0"/>
        <w:keepLines w:val="0"/>
        <w:pageBreakBefore w:val="0"/>
        <w:widowControl w:val="0"/>
        <w:kinsoku/>
        <w:wordWrap/>
        <w:overflowPunct/>
        <w:topLinePunct w:val="0"/>
        <w:autoSpaceDE/>
        <w:autoSpaceDN/>
        <w:bidi w:val="0"/>
        <w:adjustRightInd/>
        <w:snapToGrid/>
        <w:spacing w:line="568" w:lineRule="exact"/>
        <w:ind w:firstLine="643" w:firstLineChars="200"/>
        <w:jc w:val="left"/>
        <w:textAlignment w:val="auto"/>
        <w:rPr>
          <w:rFonts w:hint="default" w:ascii="仿宋_GB2312" w:hAnsi="黑体" w:eastAsia="仿宋_GB2312" w:cs="Times New Roman"/>
          <w:b/>
          <w:kern w:val="2"/>
          <w:sz w:val="32"/>
          <w:szCs w:val="32"/>
          <w:lang w:val="en-US" w:eastAsia="zh-CN"/>
        </w:rPr>
      </w:pPr>
      <w:r>
        <w:rPr>
          <w:rFonts w:hint="eastAsia" w:ascii="仿宋_GB2312" w:hAnsi="黑体" w:eastAsia="仿宋_GB2312" w:cs="Times New Roman"/>
          <w:b/>
          <w:kern w:val="2"/>
          <w:sz w:val="32"/>
          <w:szCs w:val="32"/>
          <w:lang w:val="en-US" w:eastAsia="zh-CN"/>
        </w:rPr>
        <w:t>1.项目总体目标</w:t>
      </w:r>
    </w:p>
    <w:p w14:paraId="74E93C26">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打造全国一流的核技术医学诊疗中心（放射治疗中心、核医学中心）、核技术临床研究中心与核技术医学应用转化中心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临床试验、产学研转化应用）；同时建设全国一流三甲医院与临床试验中心，成为国家核技术医学应用示范、引领基地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服务百姓健康事业和生物医药产业发展。</w:t>
      </w:r>
    </w:p>
    <w:p w14:paraId="16021A45">
      <w:pPr>
        <w:keepNext w:val="0"/>
        <w:keepLines w:val="0"/>
        <w:pageBreakBefore w:val="0"/>
        <w:widowControl w:val="0"/>
        <w:kinsoku/>
        <w:wordWrap/>
        <w:overflowPunct/>
        <w:topLinePunct w:val="0"/>
        <w:autoSpaceDE/>
        <w:autoSpaceDN/>
        <w:bidi w:val="0"/>
        <w:adjustRightInd/>
        <w:snapToGrid/>
        <w:spacing w:line="568" w:lineRule="exact"/>
        <w:ind w:firstLine="643" w:firstLineChars="200"/>
        <w:jc w:val="left"/>
        <w:textAlignment w:val="auto"/>
        <w:rPr>
          <w:rFonts w:hint="eastAsia" w:ascii="仿宋_GB2312" w:hAnsi="黑体" w:eastAsia="仿宋_GB2312" w:cs="Times New Roman"/>
          <w:b/>
          <w:kern w:val="2"/>
          <w:sz w:val="32"/>
          <w:szCs w:val="32"/>
          <w:lang w:val="en-US" w:eastAsia="zh-CN"/>
        </w:rPr>
      </w:pPr>
      <w:r>
        <w:rPr>
          <w:rFonts w:hint="eastAsia" w:ascii="仿宋_GB2312" w:hAnsi="黑体" w:eastAsia="仿宋_GB2312" w:cs="Times New Roman"/>
          <w:b/>
          <w:kern w:val="2"/>
          <w:sz w:val="32"/>
          <w:szCs w:val="32"/>
          <w:lang w:val="en-US" w:eastAsia="zh-CN"/>
        </w:rPr>
        <w:t>2.项目阶段性目标</w:t>
      </w:r>
    </w:p>
    <w:p w14:paraId="4D75C523">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黑体" w:eastAsia="仿宋_GB2312" w:cs="Times New Roman"/>
          <w:b w:val="0"/>
          <w:bCs/>
          <w:kern w:val="2"/>
          <w:sz w:val="32"/>
          <w:szCs w:val="32"/>
          <w:lang w:val="en-US" w:eastAsia="zh-CN"/>
        </w:rPr>
      </w:pPr>
      <w:r>
        <w:rPr>
          <w:rFonts w:hint="eastAsia" w:ascii="仿宋_GB2312" w:hAnsi="黑体" w:eastAsia="仿宋_GB2312" w:cs="Times New Roman"/>
          <w:b w:val="0"/>
          <w:bCs/>
          <w:kern w:val="2"/>
          <w:sz w:val="32"/>
          <w:szCs w:val="32"/>
          <w:lang w:val="en-US" w:eastAsia="zh-CN"/>
        </w:rPr>
        <w:t>2024年</w:t>
      </w:r>
      <w:r>
        <w:rPr>
          <w:rFonts w:hint="default" w:ascii="仿宋_GB2312" w:hAnsi="黑体" w:eastAsia="仿宋_GB2312" w:cs="Times New Roman"/>
          <w:b w:val="0"/>
          <w:bCs/>
          <w:kern w:val="2"/>
          <w:sz w:val="32"/>
          <w:szCs w:val="32"/>
          <w:lang w:val="en-US" w:eastAsia="zh-CN"/>
        </w:rPr>
        <w:t>确保项目按计划进度进行</w:t>
      </w:r>
      <w:r>
        <w:rPr>
          <w:rFonts w:hint="eastAsia" w:ascii="仿宋_GB2312" w:hAnsi="黑体" w:eastAsia="仿宋_GB2312" w:cs="Times New Roman"/>
          <w:b w:val="0"/>
          <w:bCs/>
          <w:kern w:val="2"/>
          <w:sz w:val="32"/>
          <w:szCs w:val="32"/>
          <w:lang w:val="en-US" w:eastAsia="zh-CN"/>
        </w:rPr>
        <w:t>，</w:t>
      </w:r>
      <w:r>
        <w:rPr>
          <w:rFonts w:hint="default" w:ascii="仿宋_GB2312" w:hAnsi="黑体" w:eastAsia="仿宋_GB2312" w:cs="Times New Roman"/>
          <w:b w:val="0"/>
          <w:bCs/>
          <w:kern w:val="2"/>
          <w:sz w:val="32"/>
          <w:szCs w:val="32"/>
          <w:lang w:val="en-US" w:eastAsia="zh-CN"/>
        </w:rPr>
        <w:t>如期完成各阶段的建设任务，基础工程完成、主体结构封顶、外装工程基本完成</w:t>
      </w:r>
      <w:r>
        <w:rPr>
          <w:rFonts w:hint="eastAsia" w:ascii="仿宋_GB2312" w:hAnsi="黑体" w:eastAsia="仿宋_GB2312" w:cs="Times New Roman"/>
          <w:b w:val="0"/>
          <w:bCs/>
          <w:kern w:val="2"/>
          <w:sz w:val="32"/>
          <w:szCs w:val="32"/>
          <w:lang w:val="en-US" w:eastAsia="zh-CN"/>
        </w:rPr>
        <w:t>、</w:t>
      </w:r>
      <w:r>
        <w:rPr>
          <w:rFonts w:hint="eastAsia" w:ascii="仿宋_GB2312" w:hAnsi="黑体" w:eastAsia="仿宋_GB2312" w:cs="Times New Roman"/>
          <w:bCs/>
          <w:kern w:val="2"/>
          <w:sz w:val="32"/>
          <w:szCs w:val="32"/>
          <w:lang w:val="en-US" w:eastAsia="zh-CN"/>
        </w:rPr>
        <w:t>机电工程完成60%、内装工程完成40%</w:t>
      </w:r>
      <w:r>
        <w:rPr>
          <w:rFonts w:hint="eastAsia" w:ascii="仿宋_GB2312" w:hAnsi="黑体" w:eastAsia="仿宋_GB2312" w:cs="Times New Roman"/>
          <w:b w:val="0"/>
          <w:bCs/>
          <w:kern w:val="2"/>
          <w:sz w:val="32"/>
          <w:szCs w:val="32"/>
          <w:lang w:val="en-US" w:eastAsia="zh-CN"/>
        </w:rPr>
        <w:t>。</w:t>
      </w:r>
    </w:p>
    <w:p w14:paraId="6A214D2F">
      <w:pPr>
        <w:keepNext w:val="0"/>
        <w:keepLines w:val="0"/>
        <w:pageBreakBefore w:val="0"/>
        <w:widowControl w:val="0"/>
        <w:numPr>
          <w:ilvl w:val="0"/>
          <w:numId w:val="1"/>
        </w:numPr>
        <w:kinsoku/>
        <w:wordWrap/>
        <w:overflowPunct/>
        <w:topLinePunct w:val="0"/>
        <w:autoSpaceDE/>
        <w:autoSpaceDN/>
        <w:bidi w:val="0"/>
        <w:adjustRightInd/>
        <w:snapToGrid/>
        <w:spacing w:line="568" w:lineRule="exact"/>
        <w:ind w:firstLine="640" w:firstLineChars="200"/>
        <w:jc w:val="left"/>
        <w:textAlignment w:val="auto"/>
        <w:rPr>
          <w:rFonts w:hint="default" w:ascii="黑体" w:hAnsi="黑体" w:eastAsia="黑体" w:cs="Times New Roman"/>
          <w:kern w:val="2"/>
          <w:sz w:val="32"/>
          <w:szCs w:val="32"/>
          <w:lang w:val="en-US" w:eastAsia="zh-CN"/>
        </w:rPr>
      </w:pPr>
      <w:r>
        <w:rPr>
          <w:rFonts w:hint="eastAsia" w:ascii="黑体" w:hAnsi="黑体" w:eastAsia="黑体" w:cs="Times New Roman"/>
          <w:kern w:val="2"/>
          <w:sz w:val="32"/>
          <w:szCs w:val="32"/>
          <w:lang w:val="en-US" w:eastAsia="zh-CN"/>
        </w:rPr>
        <w:t>评价情况</w:t>
      </w:r>
    </w:p>
    <w:p w14:paraId="3D5E6B08">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3" w:firstLineChars="200"/>
        <w:jc w:val="left"/>
        <w:textAlignment w:val="auto"/>
        <w:rPr>
          <w:rFonts w:hint="default" w:ascii="楷体_GB2312" w:hAnsi="黑体" w:eastAsia="楷体_GB2312" w:cs="Times New Roman"/>
          <w:b/>
          <w:kern w:val="2"/>
          <w:sz w:val="32"/>
          <w:szCs w:val="32"/>
          <w:lang w:val="en-US" w:eastAsia="zh-CN"/>
        </w:rPr>
      </w:pPr>
      <w:r>
        <w:rPr>
          <w:rFonts w:hint="eastAsia" w:ascii="楷体_GB2312" w:hAnsi="黑体" w:eastAsia="楷体_GB2312" w:cs="Times New Roman"/>
          <w:b/>
          <w:kern w:val="2"/>
          <w:sz w:val="32"/>
          <w:szCs w:val="32"/>
          <w:lang w:val="en-US" w:eastAsia="zh-CN"/>
        </w:rPr>
        <w:t>（一）项目特点分析</w:t>
      </w:r>
    </w:p>
    <w:p w14:paraId="27E9F09F">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黑体" w:eastAsia="仿宋_GB2312" w:cs="Times New Roman"/>
          <w:b w:val="0"/>
          <w:bCs/>
          <w:kern w:val="2"/>
          <w:sz w:val="32"/>
          <w:szCs w:val="32"/>
          <w:lang w:val="en-US" w:eastAsia="zh-CN"/>
        </w:rPr>
      </w:pPr>
      <w:r>
        <w:rPr>
          <w:rFonts w:hint="eastAsia" w:ascii="仿宋_GB2312" w:hAnsi="黑体" w:eastAsia="仿宋_GB2312" w:cs="Times New Roman"/>
          <w:b w:val="0"/>
          <w:bCs/>
          <w:kern w:val="2"/>
          <w:sz w:val="32"/>
          <w:szCs w:val="32"/>
          <w:lang w:val="en-US" w:eastAsia="zh-CN"/>
        </w:rPr>
        <w:t>1.项目完全符合苏州高新区医疗卫生事业发展规划和群众医疗需求，符合苏州高新区完善防治体系，并兼顾中核集团医疗板块今后的发展定位，有利于发挥医院医疗资源优势、实现医院的可持续发展。</w:t>
      </w:r>
    </w:p>
    <w:p w14:paraId="6A75A72F">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黑体" w:eastAsia="仿宋_GB2312" w:cs="Times New Roman"/>
          <w:b w:val="0"/>
          <w:bCs/>
          <w:kern w:val="2"/>
          <w:sz w:val="32"/>
          <w:szCs w:val="32"/>
          <w:lang w:val="en-US" w:eastAsia="zh-CN"/>
        </w:rPr>
      </w:pPr>
      <w:r>
        <w:rPr>
          <w:rFonts w:hint="eastAsia" w:ascii="仿宋_GB2312" w:hAnsi="黑体" w:eastAsia="仿宋_GB2312" w:cs="Times New Roman"/>
          <w:b w:val="0"/>
          <w:bCs/>
          <w:kern w:val="2"/>
          <w:sz w:val="32"/>
          <w:szCs w:val="32"/>
          <w:lang w:val="en-US" w:eastAsia="zh-CN"/>
        </w:rPr>
        <w:t>2.项目完全符合苏州市和高新区卫生事业发展方向，在政府的大力支持下，外部建设条件环境具备、内部技术实力雄厚，目前建设这类大型综合医院的设计施工国内有许多成熟的经验。</w:t>
      </w:r>
    </w:p>
    <w:p w14:paraId="2EB6F50A">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3" w:firstLineChars="200"/>
        <w:jc w:val="left"/>
        <w:textAlignment w:val="auto"/>
        <w:rPr>
          <w:rFonts w:hint="default" w:ascii="楷体_GB2312" w:hAnsi="黑体" w:eastAsia="楷体_GB2312" w:cs="Times New Roman"/>
          <w:b/>
          <w:kern w:val="2"/>
          <w:sz w:val="32"/>
          <w:szCs w:val="32"/>
          <w:lang w:val="en-US" w:eastAsia="zh-CN"/>
        </w:rPr>
      </w:pPr>
      <w:r>
        <w:rPr>
          <w:rFonts w:hint="eastAsia" w:ascii="楷体_GB2312" w:hAnsi="黑体" w:eastAsia="楷体_GB2312" w:cs="Times New Roman"/>
          <w:b/>
          <w:kern w:val="2"/>
          <w:sz w:val="32"/>
          <w:szCs w:val="32"/>
          <w:lang w:val="en-US" w:eastAsia="zh-CN"/>
        </w:rPr>
        <w:t>（二）评价工作情况</w:t>
      </w:r>
    </w:p>
    <w:p w14:paraId="78B0C716">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黑体" w:eastAsia="仿宋_GB2312" w:cs="Times New Roman"/>
          <w:b w:val="0"/>
          <w:bCs/>
          <w:kern w:val="2"/>
          <w:sz w:val="32"/>
          <w:szCs w:val="32"/>
          <w:lang w:val="en-US" w:eastAsia="zh-CN"/>
        </w:rPr>
      </w:pPr>
      <w:r>
        <w:rPr>
          <w:rFonts w:hint="eastAsia" w:ascii="仿宋_GB2312" w:hAnsi="黑体" w:eastAsia="仿宋_GB2312" w:cs="Times New Roman"/>
          <w:b w:val="0"/>
          <w:bCs/>
          <w:kern w:val="2"/>
          <w:sz w:val="32"/>
          <w:szCs w:val="32"/>
          <w:lang w:val="en-US" w:eastAsia="zh-CN"/>
        </w:rPr>
        <w:t>医院相关部门高度重视专项债券项目绩效评价工作，具体分为工作部署、数据填报、现场调研与核查、综合评价等阶段。</w:t>
      </w:r>
    </w:p>
    <w:p w14:paraId="4BE82869">
      <w:pPr>
        <w:keepNext w:val="0"/>
        <w:keepLines w:val="0"/>
        <w:pageBreakBefore w:val="0"/>
        <w:widowControl w:val="0"/>
        <w:numPr>
          <w:ilvl w:val="-1"/>
          <w:numId w:val="0"/>
        </w:numPr>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黑体" w:eastAsia="仿宋_GB2312" w:cs="Times New Roman"/>
          <w:b w:val="0"/>
          <w:bCs/>
          <w:kern w:val="2"/>
          <w:sz w:val="32"/>
          <w:szCs w:val="32"/>
          <w:lang w:val="en-US" w:eastAsia="zh-CN"/>
        </w:rPr>
      </w:pPr>
      <w:r>
        <w:rPr>
          <w:rFonts w:hint="eastAsia" w:ascii="仿宋_GB2312" w:hAnsi="黑体" w:eastAsia="仿宋_GB2312" w:cs="Times New Roman"/>
          <w:b w:val="0"/>
          <w:bCs/>
          <w:kern w:val="2"/>
          <w:sz w:val="32"/>
          <w:szCs w:val="32"/>
          <w:lang w:val="en-US" w:eastAsia="zh-CN"/>
        </w:rPr>
        <w:t>1.明确本次绩效评价项目的基本情况，在充分调研项目开展情况的基础上，设计评价指标，并就绩效指标的科学性、合理性，指标相关数据的可获取性以及目标值设定的依据等问题，与相关部门进行沟通。</w:t>
      </w:r>
    </w:p>
    <w:p w14:paraId="6582350C">
      <w:pPr>
        <w:keepNext w:val="0"/>
        <w:keepLines w:val="0"/>
        <w:pageBreakBefore w:val="0"/>
        <w:widowControl w:val="0"/>
        <w:numPr>
          <w:ilvl w:val="-1"/>
          <w:numId w:val="0"/>
        </w:numPr>
        <w:kinsoku/>
        <w:wordWrap/>
        <w:overflowPunct/>
        <w:topLinePunct w:val="0"/>
        <w:autoSpaceDE/>
        <w:autoSpaceDN/>
        <w:bidi w:val="0"/>
        <w:adjustRightInd/>
        <w:snapToGrid/>
        <w:spacing w:line="568" w:lineRule="exact"/>
        <w:ind w:firstLine="640" w:firstLineChars="200"/>
        <w:jc w:val="both"/>
        <w:textAlignment w:val="auto"/>
        <w:rPr>
          <w:rFonts w:hint="default" w:ascii="仿宋_GB2312" w:hAnsi="黑体" w:eastAsia="仿宋_GB2312" w:cs="Times New Roman"/>
          <w:b w:val="0"/>
          <w:bCs/>
          <w:kern w:val="2"/>
          <w:sz w:val="32"/>
          <w:szCs w:val="32"/>
          <w:lang w:val="en-US" w:eastAsia="zh-CN"/>
        </w:rPr>
      </w:pPr>
      <w:r>
        <w:rPr>
          <w:rFonts w:hint="eastAsia" w:ascii="仿宋_GB2312" w:hAnsi="黑体" w:eastAsia="仿宋_GB2312" w:cs="Times New Roman"/>
          <w:b w:val="0"/>
          <w:bCs/>
          <w:kern w:val="2"/>
          <w:sz w:val="32"/>
          <w:szCs w:val="32"/>
          <w:lang w:val="en-US" w:eastAsia="zh-CN"/>
        </w:rPr>
        <w:t>2.在数据填报结束后进行数据核查。结合数据填报和资料提供的全面性、完整性等，适时组织开展业务台账、管理过程资料等数据资料核查、工作人员访谈、项目实地调研等。</w:t>
      </w:r>
    </w:p>
    <w:p w14:paraId="0456F05E">
      <w:pPr>
        <w:keepNext w:val="0"/>
        <w:keepLines w:val="0"/>
        <w:pageBreakBefore w:val="0"/>
        <w:widowControl w:val="0"/>
        <w:numPr>
          <w:ilvl w:val="-1"/>
          <w:numId w:val="0"/>
        </w:numPr>
        <w:kinsoku/>
        <w:wordWrap/>
        <w:overflowPunct/>
        <w:topLinePunct w:val="0"/>
        <w:autoSpaceDE/>
        <w:autoSpaceDN/>
        <w:bidi w:val="0"/>
        <w:adjustRightInd/>
        <w:snapToGrid/>
        <w:spacing w:line="568" w:lineRule="exact"/>
        <w:ind w:firstLine="640" w:firstLineChars="200"/>
        <w:jc w:val="both"/>
        <w:textAlignment w:val="auto"/>
        <w:rPr>
          <w:rFonts w:hint="default" w:ascii="仿宋_GB2312" w:hAnsi="黑体" w:eastAsia="仿宋_GB2312" w:cs="Times New Roman"/>
          <w:b w:val="0"/>
          <w:bCs/>
          <w:kern w:val="2"/>
          <w:sz w:val="32"/>
          <w:szCs w:val="32"/>
          <w:lang w:val="en-US" w:eastAsia="zh-CN"/>
        </w:rPr>
      </w:pPr>
      <w:r>
        <w:rPr>
          <w:rFonts w:hint="eastAsia" w:ascii="仿宋_GB2312" w:hAnsi="黑体" w:eastAsia="仿宋_GB2312" w:cs="Times New Roman"/>
          <w:b w:val="0"/>
          <w:bCs/>
          <w:kern w:val="2"/>
          <w:sz w:val="32"/>
          <w:szCs w:val="32"/>
          <w:lang w:val="en-US" w:eastAsia="zh-CN"/>
        </w:rPr>
        <w:t>3.数据整理分析阶段，对调查信息、基础数据、指标数据进行整理分析。该部分工作作为评价结论形成的重要环节，需要通过对每项评价指标的完成情况分析，总结和发现项目开展的成效和存在的问题。</w:t>
      </w:r>
    </w:p>
    <w:p w14:paraId="283CBD68">
      <w:pPr>
        <w:keepNext w:val="0"/>
        <w:keepLines w:val="0"/>
        <w:pageBreakBefore w:val="0"/>
        <w:widowControl w:val="0"/>
        <w:numPr>
          <w:ilvl w:val="-1"/>
          <w:numId w:val="0"/>
        </w:numPr>
        <w:kinsoku/>
        <w:wordWrap/>
        <w:overflowPunct/>
        <w:topLinePunct w:val="0"/>
        <w:autoSpaceDE/>
        <w:autoSpaceDN/>
        <w:bidi w:val="0"/>
        <w:adjustRightInd/>
        <w:snapToGrid/>
        <w:spacing w:line="568" w:lineRule="exact"/>
        <w:ind w:firstLine="640" w:firstLineChars="200"/>
        <w:jc w:val="both"/>
        <w:textAlignment w:val="auto"/>
        <w:rPr>
          <w:rFonts w:hint="default" w:ascii="仿宋_GB2312" w:hAnsi="黑体" w:eastAsia="仿宋_GB2312" w:cs="Times New Roman"/>
          <w:b w:val="0"/>
          <w:bCs/>
          <w:kern w:val="2"/>
          <w:sz w:val="32"/>
          <w:szCs w:val="32"/>
          <w:lang w:val="en-US" w:eastAsia="zh-CN"/>
        </w:rPr>
      </w:pPr>
      <w:r>
        <w:rPr>
          <w:rFonts w:hint="eastAsia" w:ascii="仿宋_GB2312" w:hAnsi="黑体" w:eastAsia="仿宋_GB2312" w:cs="Times New Roman"/>
          <w:b w:val="0"/>
          <w:bCs/>
          <w:kern w:val="2"/>
          <w:sz w:val="32"/>
          <w:szCs w:val="32"/>
          <w:lang w:val="en-US" w:eastAsia="zh-CN"/>
        </w:rPr>
        <w:t>4.在汇总各类信息数据之后，进行指标数据的总体评估，撰写评价报告。</w:t>
      </w:r>
    </w:p>
    <w:p w14:paraId="4DE5C2E3">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3" w:firstLineChars="200"/>
        <w:jc w:val="left"/>
        <w:textAlignment w:val="auto"/>
        <w:rPr>
          <w:rFonts w:hint="default" w:ascii="楷体_GB2312" w:hAnsi="黑体" w:eastAsia="楷体_GB2312" w:cs="Times New Roman"/>
          <w:b/>
          <w:kern w:val="2"/>
          <w:sz w:val="32"/>
          <w:szCs w:val="32"/>
          <w:lang w:val="en-US" w:eastAsia="zh-CN"/>
        </w:rPr>
      </w:pPr>
      <w:r>
        <w:rPr>
          <w:rFonts w:hint="eastAsia" w:ascii="楷体_GB2312" w:hAnsi="黑体" w:eastAsia="楷体_GB2312" w:cs="Times New Roman"/>
          <w:b/>
          <w:kern w:val="2"/>
          <w:sz w:val="32"/>
          <w:szCs w:val="32"/>
          <w:lang w:val="en-US" w:eastAsia="zh-CN"/>
        </w:rPr>
        <w:t>（三）绩效评价结论</w:t>
      </w:r>
    </w:p>
    <w:p w14:paraId="765F784F">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黑体" w:eastAsia="仿宋_GB2312" w:cs="Times New Roman"/>
          <w:b w:val="0"/>
          <w:bCs/>
          <w:kern w:val="2"/>
          <w:sz w:val="32"/>
          <w:szCs w:val="32"/>
          <w:lang w:val="en-US" w:eastAsia="zh-CN"/>
        </w:rPr>
      </w:pPr>
      <w:r>
        <w:rPr>
          <w:rFonts w:hint="eastAsia" w:ascii="仿宋_GB2312" w:hAnsi="黑体" w:eastAsia="仿宋_GB2312" w:cs="Times New Roman"/>
          <w:b w:val="0"/>
          <w:bCs/>
          <w:kern w:val="2"/>
          <w:sz w:val="32"/>
          <w:szCs w:val="32"/>
          <w:lang w:val="en-US" w:eastAsia="zh-CN"/>
        </w:rPr>
        <w:t>苏州大学附属第二医院浒关院区二期工程项目专项债券绩效评价自评得分95.40分，评价等级为优。</w:t>
      </w:r>
    </w:p>
    <w:tbl>
      <w:tblPr>
        <w:tblStyle w:val="7"/>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4"/>
        <w:gridCol w:w="3122"/>
        <w:gridCol w:w="3597"/>
      </w:tblGrid>
      <w:tr w14:paraId="6C411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293" w:type="pct"/>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26D87706">
            <w:pPr>
              <w:keepNext w:val="0"/>
              <w:keepLines w:val="0"/>
              <w:widowControl/>
              <w:suppressLineNumbers w:val="0"/>
              <w:jc w:val="center"/>
              <w:textAlignment w:val="center"/>
              <w:rPr>
                <w:rFonts w:hint="eastAsia" w:ascii="黑体" w:hAnsi="黑体" w:eastAsia="黑体" w:cs="黑体"/>
                <w:b w:val="0"/>
                <w:bCs w:val="0"/>
                <w:i w:val="0"/>
                <w:iCs w:val="0"/>
                <w:color w:val="000000"/>
                <w:sz w:val="32"/>
                <w:szCs w:val="32"/>
                <w:u w:val="none"/>
              </w:rPr>
            </w:pPr>
            <w:r>
              <w:rPr>
                <w:rFonts w:hint="eastAsia" w:ascii="黑体" w:hAnsi="黑体" w:eastAsia="黑体" w:cs="黑体"/>
                <w:b w:val="0"/>
                <w:bCs w:val="0"/>
                <w:i w:val="0"/>
                <w:iCs w:val="0"/>
                <w:color w:val="000000"/>
                <w:kern w:val="0"/>
                <w:sz w:val="32"/>
                <w:szCs w:val="32"/>
                <w:u w:val="none"/>
                <w:lang w:val="en-US" w:eastAsia="zh-CN" w:bidi="ar"/>
              </w:rPr>
              <w:t>一级指标</w:t>
            </w:r>
          </w:p>
        </w:tc>
        <w:tc>
          <w:tcPr>
            <w:tcW w:w="1722" w:type="pct"/>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729D4B4A">
            <w:pPr>
              <w:keepNext w:val="0"/>
              <w:keepLines w:val="0"/>
              <w:widowControl/>
              <w:suppressLineNumbers w:val="0"/>
              <w:jc w:val="center"/>
              <w:textAlignment w:val="center"/>
              <w:rPr>
                <w:rFonts w:hint="eastAsia" w:ascii="黑体" w:hAnsi="黑体" w:eastAsia="黑体" w:cs="黑体"/>
                <w:b w:val="0"/>
                <w:bCs w:val="0"/>
                <w:i w:val="0"/>
                <w:iCs w:val="0"/>
                <w:color w:val="000000"/>
                <w:sz w:val="32"/>
                <w:szCs w:val="32"/>
                <w:u w:val="none"/>
              </w:rPr>
            </w:pPr>
            <w:r>
              <w:rPr>
                <w:rFonts w:hint="eastAsia" w:ascii="黑体" w:hAnsi="黑体" w:eastAsia="黑体" w:cs="黑体"/>
                <w:b w:val="0"/>
                <w:bCs w:val="0"/>
                <w:i w:val="0"/>
                <w:iCs w:val="0"/>
                <w:color w:val="000000"/>
                <w:kern w:val="0"/>
                <w:sz w:val="32"/>
                <w:szCs w:val="32"/>
                <w:u w:val="none"/>
                <w:lang w:val="en-US" w:eastAsia="zh-CN" w:bidi="ar"/>
              </w:rPr>
              <w:t>权重</w:t>
            </w:r>
          </w:p>
        </w:tc>
        <w:tc>
          <w:tcPr>
            <w:tcW w:w="1984" w:type="pct"/>
            <w:tcBorders>
              <w:top w:val="single" w:color="000000" w:sz="4" w:space="0"/>
              <w:left w:val="single" w:color="000000" w:sz="4" w:space="0"/>
              <w:bottom w:val="single" w:color="000000" w:sz="4" w:space="0"/>
              <w:right w:val="single" w:color="000000" w:sz="4" w:space="0"/>
            </w:tcBorders>
            <w:shd w:val="clear" w:color="auto" w:fill="BFBFBF"/>
            <w:noWrap w:val="0"/>
            <w:vAlign w:val="center"/>
          </w:tcPr>
          <w:p w14:paraId="6A6B7A53">
            <w:pPr>
              <w:keepNext w:val="0"/>
              <w:keepLines w:val="0"/>
              <w:widowControl/>
              <w:suppressLineNumbers w:val="0"/>
              <w:jc w:val="center"/>
              <w:textAlignment w:val="center"/>
              <w:rPr>
                <w:rFonts w:hint="eastAsia" w:ascii="黑体" w:hAnsi="黑体" w:eastAsia="黑体" w:cs="黑体"/>
                <w:b w:val="0"/>
                <w:bCs w:val="0"/>
                <w:i w:val="0"/>
                <w:iCs w:val="0"/>
                <w:color w:val="000000"/>
                <w:sz w:val="32"/>
                <w:szCs w:val="32"/>
                <w:u w:val="none"/>
              </w:rPr>
            </w:pPr>
            <w:r>
              <w:rPr>
                <w:rFonts w:hint="eastAsia" w:ascii="黑体" w:hAnsi="黑体" w:eastAsia="黑体" w:cs="黑体"/>
                <w:b w:val="0"/>
                <w:bCs w:val="0"/>
                <w:i w:val="0"/>
                <w:iCs w:val="0"/>
                <w:color w:val="000000"/>
                <w:kern w:val="0"/>
                <w:sz w:val="32"/>
                <w:szCs w:val="32"/>
                <w:u w:val="none"/>
                <w:lang w:val="en-US" w:eastAsia="zh-CN" w:bidi="ar"/>
              </w:rPr>
              <w:t>自评分</w:t>
            </w:r>
          </w:p>
        </w:tc>
      </w:tr>
      <w:tr w14:paraId="04D8B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93" w:type="pct"/>
            <w:tcBorders>
              <w:top w:val="single" w:color="000000" w:sz="4" w:space="0"/>
              <w:left w:val="single" w:color="000000" w:sz="4" w:space="0"/>
              <w:bottom w:val="single" w:color="000000" w:sz="4" w:space="0"/>
              <w:right w:val="single" w:color="000000" w:sz="4" w:space="0"/>
            </w:tcBorders>
            <w:noWrap w:val="0"/>
            <w:vAlign w:val="center"/>
          </w:tcPr>
          <w:p w14:paraId="250B8285">
            <w:pPr>
              <w:keepNext w:val="0"/>
              <w:keepLines w:val="0"/>
              <w:widowControl/>
              <w:suppressLineNumbers w:val="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过程</w:t>
            </w:r>
          </w:p>
        </w:tc>
        <w:tc>
          <w:tcPr>
            <w:tcW w:w="1722" w:type="pct"/>
            <w:tcBorders>
              <w:top w:val="single" w:color="000000" w:sz="4" w:space="0"/>
              <w:left w:val="single" w:color="000000" w:sz="4" w:space="0"/>
              <w:bottom w:val="single" w:color="000000" w:sz="4" w:space="0"/>
              <w:right w:val="single" w:color="000000" w:sz="4" w:space="0"/>
            </w:tcBorders>
            <w:noWrap/>
            <w:vAlign w:val="top"/>
          </w:tcPr>
          <w:p w14:paraId="7B1EB55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20</w:t>
            </w:r>
          </w:p>
        </w:tc>
        <w:tc>
          <w:tcPr>
            <w:tcW w:w="1984" w:type="pct"/>
            <w:tcBorders>
              <w:top w:val="single" w:color="000000" w:sz="4" w:space="0"/>
              <w:left w:val="single" w:color="000000" w:sz="4" w:space="0"/>
              <w:bottom w:val="single" w:color="000000" w:sz="4" w:space="0"/>
              <w:right w:val="single" w:color="000000" w:sz="4" w:space="0"/>
            </w:tcBorders>
            <w:noWrap/>
            <w:vAlign w:val="center"/>
          </w:tcPr>
          <w:p w14:paraId="616830A8">
            <w:pPr>
              <w:keepNext w:val="0"/>
              <w:keepLines w:val="0"/>
              <w:widowControl/>
              <w:suppressLineNumbers w:val="0"/>
              <w:jc w:val="center"/>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20</w:t>
            </w:r>
          </w:p>
        </w:tc>
      </w:tr>
      <w:tr w14:paraId="21FED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93" w:type="pct"/>
            <w:tcBorders>
              <w:top w:val="single" w:color="000000" w:sz="4" w:space="0"/>
              <w:left w:val="single" w:color="000000" w:sz="4" w:space="0"/>
              <w:bottom w:val="single" w:color="000000" w:sz="4" w:space="0"/>
              <w:right w:val="single" w:color="000000" w:sz="4" w:space="0"/>
            </w:tcBorders>
            <w:noWrap w:val="0"/>
            <w:vAlign w:val="center"/>
          </w:tcPr>
          <w:p w14:paraId="3B24E992">
            <w:pPr>
              <w:keepNext w:val="0"/>
              <w:keepLines w:val="0"/>
              <w:widowControl/>
              <w:suppressLineNumbers w:val="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产出</w:t>
            </w:r>
          </w:p>
        </w:tc>
        <w:tc>
          <w:tcPr>
            <w:tcW w:w="1722" w:type="pct"/>
            <w:tcBorders>
              <w:top w:val="single" w:color="000000" w:sz="4" w:space="0"/>
              <w:left w:val="single" w:color="000000" w:sz="4" w:space="0"/>
              <w:bottom w:val="single" w:color="000000" w:sz="4" w:space="0"/>
              <w:right w:val="single" w:color="000000" w:sz="4" w:space="0"/>
            </w:tcBorders>
            <w:noWrap/>
            <w:vAlign w:val="top"/>
          </w:tcPr>
          <w:p w14:paraId="384B2F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40</w:t>
            </w:r>
          </w:p>
        </w:tc>
        <w:tc>
          <w:tcPr>
            <w:tcW w:w="1984" w:type="pct"/>
            <w:tcBorders>
              <w:top w:val="single" w:color="000000" w:sz="4" w:space="0"/>
              <w:left w:val="single" w:color="000000" w:sz="4" w:space="0"/>
              <w:bottom w:val="single" w:color="000000" w:sz="4" w:space="0"/>
              <w:right w:val="single" w:color="000000" w:sz="4" w:space="0"/>
            </w:tcBorders>
            <w:noWrap/>
            <w:vAlign w:val="center"/>
          </w:tcPr>
          <w:p w14:paraId="7D73707A">
            <w:pPr>
              <w:keepNext w:val="0"/>
              <w:keepLines w:val="0"/>
              <w:widowControl/>
              <w:suppressLineNumbers w:val="0"/>
              <w:jc w:val="center"/>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37.4</w:t>
            </w:r>
          </w:p>
        </w:tc>
      </w:tr>
      <w:tr w14:paraId="23296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93" w:type="pct"/>
            <w:tcBorders>
              <w:top w:val="single" w:color="000000" w:sz="4" w:space="0"/>
              <w:left w:val="single" w:color="000000" w:sz="4" w:space="0"/>
              <w:bottom w:val="single" w:color="000000" w:sz="4" w:space="0"/>
              <w:right w:val="single" w:color="000000" w:sz="4" w:space="0"/>
            </w:tcBorders>
            <w:noWrap w:val="0"/>
            <w:vAlign w:val="center"/>
          </w:tcPr>
          <w:p w14:paraId="66212163">
            <w:pPr>
              <w:keepNext w:val="0"/>
              <w:keepLines w:val="0"/>
              <w:widowControl/>
              <w:suppressLineNumbers w:val="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效益</w:t>
            </w:r>
          </w:p>
        </w:tc>
        <w:tc>
          <w:tcPr>
            <w:tcW w:w="1722" w:type="pct"/>
            <w:tcBorders>
              <w:top w:val="single" w:color="000000" w:sz="4" w:space="0"/>
              <w:left w:val="single" w:color="000000" w:sz="4" w:space="0"/>
              <w:bottom w:val="single" w:color="000000" w:sz="4" w:space="0"/>
              <w:right w:val="single" w:color="000000" w:sz="4" w:space="0"/>
            </w:tcBorders>
            <w:noWrap/>
            <w:vAlign w:val="top"/>
          </w:tcPr>
          <w:p w14:paraId="4BFC712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30</w:t>
            </w:r>
          </w:p>
        </w:tc>
        <w:tc>
          <w:tcPr>
            <w:tcW w:w="1984" w:type="pct"/>
            <w:tcBorders>
              <w:top w:val="single" w:color="000000" w:sz="4" w:space="0"/>
              <w:left w:val="single" w:color="000000" w:sz="4" w:space="0"/>
              <w:bottom w:val="single" w:color="000000" w:sz="4" w:space="0"/>
              <w:right w:val="single" w:color="000000" w:sz="4" w:space="0"/>
            </w:tcBorders>
            <w:noWrap/>
            <w:vAlign w:val="center"/>
          </w:tcPr>
          <w:p w14:paraId="760AADC7">
            <w:pPr>
              <w:keepNext w:val="0"/>
              <w:keepLines w:val="0"/>
              <w:widowControl/>
              <w:suppressLineNumbers w:val="0"/>
              <w:jc w:val="center"/>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30</w:t>
            </w:r>
          </w:p>
        </w:tc>
      </w:tr>
      <w:tr w14:paraId="7D4F5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93" w:type="pct"/>
            <w:tcBorders>
              <w:top w:val="single" w:color="000000" w:sz="4" w:space="0"/>
              <w:left w:val="single" w:color="000000" w:sz="4" w:space="0"/>
              <w:bottom w:val="single" w:color="000000" w:sz="4" w:space="0"/>
              <w:right w:val="single" w:color="000000" w:sz="4" w:space="0"/>
            </w:tcBorders>
            <w:noWrap w:val="0"/>
            <w:vAlign w:val="center"/>
          </w:tcPr>
          <w:p w14:paraId="797D9FB2">
            <w:pPr>
              <w:keepNext w:val="0"/>
              <w:keepLines w:val="0"/>
              <w:widowControl/>
              <w:suppressLineNumbers w:val="0"/>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满意度</w:t>
            </w:r>
          </w:p>
        </w:tc>
        <w:tc>
          <w:tcPr>
            <w:tcW w:w="1722" w:type="pct"/>
            <w:tcBorders>
              <w:top w:val="single" w:color="000000" w:sz="4" w:space="0"/>
              <w:left w:val="single" w:color="000000" w:sz="4" w:space="0"/>
              <w:bottom w:val="single" w:color="000000" w:sz="4" w:space="0"/>
              <w:right w:val="single" w:color="000000" w:sz="4" w:space="0"/>
            </w:tcBorders>
            <w:noWrap/>
            <w:vAlign w:val="top"/>
          </w:tcPr>
          <w:p w14:paraId="3F1613C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10</w:t>
            </w:r>
          </w:p>
        </w:tc>
        <w:tc>
          <w:tcPr>
            <w:tcW w:w="1984" w:type="pct"/>
            <w:tcBorders>
              <w:top w:val="single" w:color="000000" w:sz="4" w:space="0"/>
              <w:left w:val="single" w:color="000000" w:sz="4" w:space="0"/>
              <w:bottom w:val="single" w:color="000000" w:sz="4" w:space="0"/>
              <w:right w:val="single" w:color="000000" w:sz="4" w:space="0"/>
            </w:tcBorders>
            <w:noWrap/>
            <w:vAlign w:val="center"/>
          </w:tcPr>
          <w:p w14:paraId="5751FAE8">
            <w:pPr>
              <w:keepNext w:val="0"/>
              <w:keepLines w:val="0"/>
              <w:widowControl/>
              <w:suppressLineNumbers w:val="0"/>
              <w:jc w:val="center"/>
              <w:textAlignment w:val="center"/>
              <w:rPr>
                <w:rFonts w:hint="eastAsia" w:ascii="仿宋_GB2312" w:hAnsi="仿宋_GB2312" w:eastAsia="仿宋_GB2312" w:cs="仿宋_GB2312"/>
                <w:i w:val="0"/>
                <w:iCs w:val="0"/>
                <w:color w:val="000000"/>
                <w:sz w:val="32"/>
                <w:szCs w:val="32"/>
                <w:u w:val="none"/>
                <w:lang w:val="en-US" w:eastAsia="zh-CN"/>
              </w:rPr>
            </w:pPr>
            <w:r>
              <w:rPr>
                <w:rFonts w:hint="eastAsia" w:ascii="仿宋_GB2312" w:hAnsi="仿宋_GB2312" w:eastAsia="仿宋_GB2312" w:cs="仿宋_GB2312"/>
                <w:i w:val="0"/>
                <w:iCs w:val="0"/>
                <w:color w:val="000000"/>
                <w:sz w:val="32"/>
                <w:szCs w:val="32"/>
                <w:u w:val="none"/>
                <w:lang w:val="en-US" w:eastAsia="zh-CN"/>
              </w:rPr>
              <w:t>8</w:t>
            </w:r>
          </w:p>
        </w:tc>
      </w:tr>
      <w:tr w14:paraId="20C7B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93" w:type="pct"/>
            <w:tcBorders>
              <w:top w:val="single" w:color="000000" w:sz="4" w:space="0"/>
              <w:left w:val="single" w:color="000000" w:sz="4" w:space="0"/>
              <w:bottom w:val="single" w:color="000000" w:sz="4" w:space="0"/>
              <w:right w:val="single" w:color="000000" w:sz="4" w:space="0"/>
            </w:tcBorders>
            <w:noWrap w:val="0"/>
            <w:vAlign w:val="center"/>
          </w:tcPr>
          <w:p w14:paraId="46EDBAA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32"/>
                <w:szCs w:val="32"/>
                <w:u w:val="none"/>
              </w:rPr>
            </w:pPr>
            <w:r>
              <w:rPr>
                <w:rFonts w:hint="eastAsia" w:ascii="仿宋_GB2312" w:hAnsi="仿宋_GB2312" w:eastAsia="仿宋_GB2312" w:cs="仿宋_GB2312"/>
                <w:b/>
                <w:bCs/>
                <w:i w:val="0"/>
                <w:iCs w:val="0"/>
                <w:color w:val="000000"/>
                <w:kern w:val="0"/>
                <w:sz w:val="32"/>
                <w:szCs w:val="32"/>
                <w:u w:val="none"/>
                <w:lang w:val="en-US" w:eastAsia="zh-CN" w:bidi="ar"/>
              </w:rPr>
              <w:t>合计：</w:t>
            </w:r>
          </w:p>
        </w:tc>
        <w:tc>
          <w:tcPr>
            <w:tcW w:w="1722" w:type="pct"/>
            <w:tcBorders>
              <w:top w:val="single" w:color="000000" w:sz="4" w:space="0"/>
              <w:left w:val="single" w:color="000000" w:sz="4" w:space="0"/>
              <w:bottom w:val="single" w:color="000000" w:sz="4" w:space="0"/>
              <w:right w:val="single" w:color="000000" w:sz="4" w:space="0"/>
            </w:tcBorders>
            <w:noWrap w:val="0"/>
            <w:vAlign w:val="center"/>
          </w:tcPr>
          <w:p w14:paraId="46C59888">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32"/>
                <w:szCs w:val="32"/>
                <w:u w:val="none"/>
              </w:rPr>
            </w:pPr>
            <w:r>
              <w:rPr>
                <w:rFonts w:hint="eastAsia" w:ascii="仿宋_GB2312" w:hAnsi="仿宋_GB2312" w:eastAsia="仿宋_GB2312" w:cs="仿宋_GB2312"/>
                <w:b/>
                <w:bCs/>
                <w:i w:val="0"/>
                <w:iCs w:val="0"/>
                <w:color w:val="000000"/>
                <w:kern w:val="0"/>
                <w:sz w:val="32"/>
                <w:szCs w:val="32"/>
                <w:u w:val="none"/>
                <w:lang w:val="en-US" w:eastAsia="zh-CN" w:bidi="ar"/>
              </w:rPr>
              <w:t>100</w:t>
            </w:r>
          </w:p>
        </w:tc>
        <w:tc>
          <w:tcPr>
            <w:tcW w:w="1984" w:type="pct"/>
            <w:tcBorders>
              <w:top w:val="single" w:color="000000" w:sz="4" w:space="0"/>
              <w:left w:val="single" w:color="000000" w:sz="4" w:space="0"/>
              <w:bottom w:val="single" w:color="000000" w:sz="4" w:space="0"/>
              <w:right w:val="single" w:color="000000" w:sz="4" w:space="0"/>
            </w:tcBorders>
            <w:noWrap w:val="0"/>
            <w:vAlign w:val="center"/>
          </w:tcPr>
          <w:p w14:paraId="2E71DF0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32"/>
                <w:szCs w:val="32"/>
                <w:u w:val="none"/>
                <w:lang w:val="en-US" w:eastAsia="zh-CN"/>
              </w:rPr>
            </w:pPr>
            <w:r>
              <w:rPr>
                <w:rFonts w:hint="eastAsia" w:ascii="仿宋_GB2312" w:hAnsi="仿宋_GB2312" w:eastAsia="仿宋_GB2312" w:cs="仿宋_GB2312"/>
                <w:b/>
                <w:bCs/>
                <w:i w:val="0"/>
                <w:iCs w:val="0"/>
                <w:color w:val="000000"/>
                <w:sz w:val="32"/>
                <w:szCs w:val="32"/>
                <w:u w:val="none"/>
                <w:lang w:val="en-US" w:eastAsia="zh-CN"/>
              </w:rPr>
              <w:t>95.4</w:t>
            </w:r>
          </w:p>
        </w:tc>
      </w:tr>
    </w:tbl>
    <w:p w14:paraId="1D9B2110">
      <w:pPr>
        <w:keepNext w:val="0"/>
        <w:keepLines w:val="0"/>
        <w:pageBreakBefore w:val="0"/>
        <w:widowControl w:val="0"/>
        <w:numPr>
          <w:ilvl w:val="0"/>
          <w:numId w:val="1"/>
        </w:numPr>
        <w:kinsoku/>
        <w:wordWrap/>
        <w:overflowPunct/>
        <w:topLinePunct w:val="0"/>
        <w:autoSpaceDE/>
        <w:autoSpaceDN/>
        <w:bidi w:val="0"/>
        <w:adjustRightInd/>
        <w:snapToGrid/>
        <w:spacing w:line="568" w:lineRule="exact"/>
        <w:ind w:firstLine="640" w:firstLineChars="200"/>
        <w:jc w:val="left"/>
        <w:textAlignment w:val="auto"/>
        <w:rPr>
          <w:rFonts w:hint="default" w:ascii="黑体" w:hAnsi="黑体" w:eastAsia="黑体" w:cs="Times New Roman"/>
          <w:kern w:val="2"/>
          <w:sz w:val="32"/>
          <w:szCs w:val="32"/>
          <w:lang w:val="en-US" w:eastAsia="zh-CN"/>
        </w:rPr>
      </w:pPr>
      <w:r>
        <w:rPr>
          <w:rFonts w:hint="eastAsia" w:ascii="黑体" w:hAnsi="黑体" w:eastAsia="黑体" w:cs="Times New Roman"/>
          <w:kern w:val="2"/>
          <w:sz w:val="32"/>
          <w:szCs w:val="32"/>
          <w:lang w:val="en-US" w:eastAsia="zh-CN"/>
        </w:rPr>
        <w:t>项目绩效</w:t>
      </w:r>
    </w:p>
    <w:p w14:paraId="32C473D8">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黑体" w:eastAsia="仿宋_GB2312" w:cs="Times New Roman"/>
          <w:b w:val="0"/>
          <w:bCs/>
          <w:kern w:val="2"/>
          <w:sz w:val="32"/>
          <w:szCs w:val="32"/>
          <w:lang w:val="en-US" w:eastAsia="zh-CN"/>
        </w:rPr>
      </w:pPr>
      <w:r>
        <w:rPr>
          <w:rFonts w:hint="eastAsia" w:ascii="仿宋_GB2312" w:hAnsi="黑体" w:eastAsia="仿宋_GB2312" w:cs="Times New Roman"/>
          <w:b w:val="0"/>
          <w:bCs/>
          <w:kern w:val="2"/>
          <w:sz w:val="32"/>
          <w:szCs w:val="32"/>
          <w:lang w:val="en-US" w:eastAsia="zh-CN"/>
        </w:rPr>
        <w:t>按照上级部门有关专项债券资金的管理办法以及医院相关报销管理规定，严格把关建设项目资金使用过程中的支付审核，专款专用，及时完成工程款结算和农民工工资支付，既注重提高专项债券资金的使用效益，又保证项目实施的合法合规性，并及时按规定报送资金使用进度等情况。</w:t>
      </w:r>
    </w:p>
    <w:p w14:paraId="0ED095BD">
      <w:pPr>
        <w:keepNext w:val="0"/>
        <w:keepLines w:val="0"/>
        <w:pageBreakBefore w:val="0"/>
        <w:widowControl w:val="0"/>
        <w:numPr>
          <w:ilvl w:val="0"/>
          <w:numId w:val="2"/>
        </w:numPr>
        <w:kinsoku/>
        <w:wordWrap/>
        <w:overflowPunct/>
        <w:topLinePunct w:val="0"/>
        <w:autoSpaceDE/>
        <w:autoSpaceDN/>
        <w:bidi w:val="0"/>
        <w:adjustRightInd/>
        <w:snapToGrid/>
        <w:spacing w:line="568" w:lineRule="exact"/>
        <w:ind w:firstLine="643" w:firstLineChars="200"/>
        <w:jc w:val="left"/>
        <w:textAlignment w:val="auto"/>
        <w:rPr>
          <w:rFonts w:hint="eastAsia" w:ascii="楷体_GB2312" w:hAnsi="黑体" w:eastAsia="楷体_GB2312" w:cs="Times New Roman"/>
          <w:b/>
          <w:kern w:val="2"/>
          <w:sz w:val="32"/>
          <w:szCs w:val="32"/>
          <w:lang w:val="en-US" w:eastAsia="zh-CN"/>
        </w:rPr>
      </w:pPr>
      <w:r>
        <w:rPr>
          <w:rFonts w:hint="eastAsia" w:ascii="楷体_GB2312" w:hAnsi="黑体" w:eastAsia="楷体_GB2312" w:cs="Times New Roman"/>
          <w:b/>
          <w:kern w:val="2"/>
          <w:sz w:val="32"/>
          <w:szCs w:val="32"/>
          <w:lang w:val="en-US" w:eastAsia="zh-CN"/>
        </w:rPr>
        <w:t>过程绩效</w:t>
      </w:r>
    </w:p>
    <w:p w14:paraId="13CB8F9B">
      <w:pPr>
        <w:keepNext w:val="0"/>
        <w:keepLines w:val="0"/>
        <w:pageBreakBefore w:val="0"/>
        <w:widowControl w:val="0"/>
        <w:kinsoku/>
        <w:wordWrap/>
        <w:overflowPunct/>
        <w:topLinePunct w:val="0"/>
        <w:autoSpaceDE/>
        <w:autoSpaceDN/>
        <w:bidi w:val="0"/>
        <w:adjustRightInd/>
        <w:snapToGrid/>
        <w:spacing w:line="568" w:lineRule="exact"/>
        <w:ind w:firstLine="646"/>
        <w:jc w:val="left"/>
        <w:textAlignment w:val="auto"/>
        <w:rPr>
          <w:rFonts w:hint="eastAsia" w:ascii="仿宋_GB2312" w:hAnsi="黑体" w:eastAsia="仿宋_GB2312" w:cs="Times New Roman"/>
          <w:b/>
          <w:sz w:val="32"/>
          <w:szCs w:val="32"/>
          <w:lang w:eastAsia="zh-CN"/>
        </w:rPr>
      </w:pPr>
      <w:r>
        <w:rPr>
          <w:rFonts w:hint="eastAsia" w:ascii="仿宋_GB2312" w:hAnsi="黑体" w:eastAsia="仿宋_GB2312" w:cs="Times New Roman"/>
          <w:b/>
          <w:sz w:val="32"/>
          <w:szCs w:val="32"/>
          <w:lang w:eastAsia="zh-CN"/>
        </w:rPr>
        <w:t>1</w:t>
      </w:r>
      <w:r>
        <w:rPr>
          <w:rFonts w:hint="eastAsia" w:ascii="仿宋_GB2312" w:hAnsi="黑体" w:eastAsia="仿宋_GB2312" w:cs="Times New Roman"/>
          <w:b/>
          <w:sz w:val="32"/>
          <w:szCs w:val="32"/>
          <w:lang w:val="en-US" w:eastAsia="zh-CN"/>
        </w:rPr>
        <w:t>.</w:t>
      </w:r>
      <w:r>
        <w:rPr>
          <w:rFonts w:hint="eastAsia" w:ascii="仿宋_GB2312" w:hAnsi="黑体" w:eastAsia="仿宋_GB2312" w:cs="Times New Roman"/>
          <w:b/>
          <w:sz w:val="32"/>
          <w:szCs w:val="32"/>
          <w:lang w:eastAsia="zh-CN"/>
        </w:rPr>
        <w:t>资金</w:t>
      </w:r>
      <w:r>
        <w:rPr>
          <w:rFonts w:hint="eastAsia" w:ascii="仿宋_GB2312" w:hAnsi="黑体" w:eastAsia="仿宋_GB2312" w:cs="Times New Roman"/>
          <w:b/>
          <w:sz w:val="32"/>
          <w:szCs w:val="32"/>
          <w:lang w:val="en-US" w:eastAsia="zh-CN"/>
        </w:rPr>
        <w:t>管理</w:t>
      </w:r>
    </w:p>
    <w:p w14:paraId="4D38F255">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黑体" w:eastAsia="仿宋_GB2312" w:cs="Times New Roman"/>
          <w:b w:val="0"/>
          <w:bCs/>
          <w:kern w:val="2"/>
          <w:sz w:val="32"/>
          <w:szCs w:val="32"/>
          <w:lang w:val="en-US" w:eastAsia="zh-CN"/>
        </w:rPr>
        <w:t>资金管理方面，该专项债券资金到位率和执行率达到100%，保证每项专项债券资金专款专用、经费支出合法合规。</w:t>
      </w:r>
    </w:p>
    <w:p w14:paraId="34C2FFF8">
      <w:pPr>
        <w:keepNext w:val="0"/>
        <w:keepLines w:val="0"/>
        <w:pageBreakBefore w:val="0"/>
        <w:widowControl w:val="0"/>
        <w:kinsoku/>
        <w:wordWrap/>
        <w:overflowPunct/>
        <w:topLinePunct w:val="0"/>
        <w:autoSpaceDE/>
        <w:autoSpaceDN/>
        <w:bidi w:val="0"/>
        <w:adjustRightInd/>
        <w:snapToGrid/>
        <w:spacing w:line="568" w:lineRule="exact"/>
        <w:ind w:firstLine="646"/>
        <w:jc w:val="left"/>
        <w:textAlignment w:val="auto"/>
        <w:rPr>
          <w:rFonts w:hint="default" w:ascii="仿宋_GB2312" w:hAnsi="黑体" w:eastAsia="仿宋_GB2312" w:cs="Times New Roman"/>
          <w:b/>
          <w:sz w:val="32"/>
          <w:szCs w:val="32"/>
          <w:lang w:val="en-US" w:eastAsia="zh-CN"/>
        </w:rPr>
      </w:pPr>
      <w:r>
        <w:rPr>
          <w:rFonts w:hint="eastAsia" w:ascii="仿宋_GB2312" w:hAnsi="黑体" w:eastAsia="仿宋_GB2312" w:cs="Times New Roman"/>
          <w:b/>
          <w:sz w:val="32"/>
          <w:szCs w:val="32"/>
          <w:lang w:val="en-US" w:eastAsia="zh-CN"/>
        </w:rPr>
        <w:t>2.组织实施</w:t>
      </w:r>
    </w:p>
    <w:p w14:paraId="386BB07D">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default"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组织实施方面，年度实施方案、进度计划、调整前后总进度计划以及资金的申请、拨付、转拨等资料，管理相关制度健全、制度执行性合法合规。</w:t>
      </w:r>
    </w:p>
    <w:p w14:paraId="5DC39C42">
      <w:pPr>
        <w:autoSpaceDE w:val="0"/>
        <w:autoSpaceDN w:val="0"/>
        <w:spacing w:line="600" w:lineRule="exact"/>
        <w:ind w:firstLine="640" w:firstLineChars="200"/>
        <w:rPr>
          <w:rFonts w:hint="eastAsia" w:ascii="楷体_GB2312" w:hAnsi="黑体" w:eastAsia="楷体_GB2312" w:cs="Times New Roman"/>
          <w:b w:val="0"/>
          <w:bCs w:val="0"/>
          <w:kern w:val="2"/>
          <w:sz w:val="32"/>
          <w:szCs w:val="32"/>
          <w:lang w:val="en-US" w:eastAsia="zh-CN"/>
        </w:rPr>
      </w:pPr>
      <w:r>
        <w:rPr>
          <w:rFonts w:hint="eastAsia" w:ascii="仿宋" w:hAnsi="仿宋" w:eastAsia="仿宋" w:cs="宋体"/>
          <w:b w:val="0"/>
          <w:bCs w:val="0"/>
          <w:sz w:val="32"/>
          <w:szCs w:val="32"/>
          <w:highlight w:val="none"/>
          <w:lang w:val="en-US" w:eastAsia="zh-CN"/>
        </w:rPr>
        <w:t>综上，过程指标权重分20分，自评分20分。</w:t>
      </w:r>
    </w:p>
    <w:p w14:paraId="09A25FF8">
      <w:pPr>
        <w:keepNext w:val="0"/>
        <w:keepLines w:val="0"/>
        <w:pageBreakBefore w:val="0"/>
        <w:widowControl w:val="0"/>
        <w:numPr>
          <w:ilvl w:val="0"/>
          <w:numId w:val="2"/>
        </w:numPr>
        <w:kinsoku/>
        <w:wordWrap/>
        <w:overflowPunct/>
        <w:topLinePunct w:val="0"/>
        <w:autoSpaceDE/>
        <w:autoSpaceDN/>
        <w:bidi w:val="0"/>
        <w:adjustRightInd/>
        <w:snapToGrid/>
        <w:spacing w:line="568" w:lineRule="exact"/>
        <w:ind w:firstLine="643" w:firstLineChars="200"/>
        <w:jc w:val="left"/>
        <w:textAlignment w:val="auto"/>
        <w:rPr>
          <w:rFonts w:hint="default" w:ascii="楷体_GB2312" w:hAnsi="黑体" w:eastAsia="楷体_GB2312" w:cs="Times New Roman"/>
          <w:b/>
          <w:kern w:val="2"/>
          <w:sz w:val="32"/>
          <w:szCs w:val="32"/>
          <w:lang w:val="en-US" w:eastAsia="zh-CN"/>
        </w:rPr>
      </w:pPr>
      <w:r>
        <w:rPr>
          <w:rFonts w:hint="eastAsia" w:ascii="楷体_GB2312" w:hAnsi="黑体" w:eastAsia="楷体_GB2312" w:cs="Times New Roman"/>
          <w:b/>
          <w:kern w:val="2"/>
          <w:sz w:val="32"/>
          <w:szCs w:val="32"/>
          <w:lang w:val="en-US" w:eastAsia="zh-CN"/>
        </w:rPr>
        <w:t>产出绩效</w:t>
      </w:r>
    </w:p>
    <w:p w14:paraId="12502022">
      <w:pPr>
        <w:keepNext w:val="0"/>
        <w:keepLines w:val="0"/>
        <w:pageBreakBefore w:val="0"/>
        <w:widowControl w:val="0"/>
        <w:kinsoku/>
        <w:wordWrap/>
        <w:overflowPunct/>
        <w:topLinePunct w:val="0"/>
        <w:autoSpaceDE/>
        <w:autoSpaceDN/>
        <w:bidi w:val="0"/>
        <w:adjustRightInd/>
        <w:snapToGrid/>
        <w:spacing w:line="568" w:lineRule="exact"/>
        <w:ind w:firstLine="646" w:firstLineChars="0"/>
        <w:jc w:val="left"/>
        <w:textAlignment w:val="auto"/>
        <w:rPr>
          <w:rFonts w:hint="eastAsia" w:ascii="仿宋_GB2312" w:hAnsi="黑体" w:eastAsia="仿宋_GB2312" w:cs="Times New Roman"/>
          <w:b/>
          <w:sz w:val="32"/>
          <w:szCs w:val="32"/>
          <w:lang w:val="en-US" w:eastAsia="zh-CN"/>
        </w:rPr>
      </w:pPr>
      <w:r>
        <w:rPr>
          <w:rFonts w:hint="eastAsia" w:ascii="仿宋_GB2312" w:hAnsi="黑体" w:eastAsia="仿宋_GB2312" w:cs="Times New Roman"/>
          <w:b/>
          <w:sz w:val="32"/>
          <w:szCs w:val="32"/>
          <w:lang w:val="en-US" w:eastAsia="zh-CN"/>
        </w:rPr>
        <w:t>1.数量指标</w:t>
      </w:r>
    </w:p>
    <w:p w14:paraId="593A9093">
      <w:pPr>
        <w:keepNext w:val="0"/>
        <w:keepLines w:val="0"/>
        <w:pageBreakBefore w:val="0"/>
        <w:widowControl w:val="0"/>
        <w:kinsoku/>
        <w:wordWrap/>
        <w:overflowPunct/>
        <w:topLinePunct w:val="0"/>
        <w:autoSpaceDE/>
        <w:autoSpaceDN/>
        <w:bidi w:val="0"/>
        <w:adjustRightInd/>
        <w:snapToGrid/>
        <w:spacing w:line="568" w:lineRule="exact"/>
        <w:ind w:firstLine="646" w:firstLineChars="0"/>
        <w:jc w:val="left"/>
        <w:textAlignment w:val="auto"/>
        <w:rPr>
          <w:rFonts w:hint="eastAsia" w:ascii="仿宋_GB2312" w:hAnsi="黑体" w:eastAsia="仿宋_GB2312" w:cs="Times New Roman"/>
          <w:b w:val="0"/>
          <w:bCs/>
          <w:kern w:val="2"/>
          <w:sz w:val="32"/>
          <w:szCs w:val="32"/>
          <w:lang w:val="en-US" w:eastAsia="zh-CN"/>
        </w:rPr>
      </w:pPr>
      <w:r>
        <w:rPr>
          <w:rFonts w:hint="eastAsia" w:ascii="仿宋_GB2312" w:hAnsi="黑体" w:eastAsia="仿宋_GB2312" w:cs="Times New Roman"/>
          <w:b w:val="0"/>
          <w:bCs/>
          <w:kern w:val="2"/>
          <w:sz w:val="32"/>
          <w:szCs w:val="32"/>
          <w:lang w:val="en-US" w:eastAsia="zh-CN"/>
        </w:rPr>
        <w:t>数量指标方面，项目机电工程完成60%、外装工程完成95%、内装工程完成40%；其中外装工程与内装工程按施工进度完成年度指标；机电工程实际施工进度达到年度指标，因工程造价咨询报告（总承包工程）中对机电工程界定不清，酌情扣除权重分20%。</w:t>
      </w:r>
    </w:p>
    <w:p w14:paraId="43DE6EEA">
      <w:pPr>
        <w:keepNext w:val="0"/>
        <w:keepLines w:val="0"/>
        <w:pageBreakBefore w:val="0"/>
        <w:widowControl w:val="0"/>
        <w:kinsoku/>
        <w:wordWrap/>
        <w:overflowPunct/>
        <w:topLinePunct w:val="0"/>
        <w:autoSpaceDE/>
        <w:autoSpaceDN/>
        <w:bidi w:val="0"/>
        <w:adjustRightInd/>
        <w:snapToGrid/>
        <w:spacing w:line="568" w:lineRule="exact"/>
        <w:ind w:firstLine="646" w:firstLineChars="0"/>
        <w:jc w:val="left"/>
        <w:textAlignment w:val="auto"/>
        <w:rPr>
          <w:rFonts w:hint="eastAsia" w:ascii="仿宋_GB2312" w:hAnsi="黑体" w:eastAsia="仿宋_GB2312" w:cs="Times New Roman"/>
          <w:b/>
          <w:bCs w:val="0"/>
          <w:kern w:val="0"/>
          <w:sz w:val="32"/>
          <w:szCs w:val="32"/>
          <w:lang w:val="en-US" w:eastAsia="zh-CN"/>
        </w:rPr>
      </w:pPr>
      <w:r>
        <w:rPr>
          <w:rFonts w:hint="eastAsia" w:ascii="仿宋_GB2312" w:hAnsi="黑体" w:eastAsia="仿宋_GB2312" w:cs="Times New Roman"/>
          <w:b/>
          <w:bCs w:val="0"/>
          <w:kern w:val="0"/>
          <w:sz w:val="32"/>
          <w:szCs w:val="32"/>
          <w:lang w:val="en-US" w:eastAsia="zh-CN"/>
        </w:rPr>
        <w:t>2.质量指标</w:t>
      </w:r>
    </w:p>
    <w:p w14:paraId="461550C0">
      <w:pPr>
        <w:keepNext w:val="0"/>
        <w:keepLines w:val="0"/>
        <w:pageBreakBefore w:val="0"/>
        <w:widowControl w:val="0"/>
        <w:kinsoku/>
        <w:wordWrap/>
        <w:overflowPunct/>
        <w:topLinePunct w:val="0"/>
        <w:autoSpaceDE/>
        <w:autoSpaceDN/>
        <w:bidi w:val="0"/>
        <w:adjustRightInd/>
        <w:snapToGrid/>
        <w:spacing w:line="568" w:lineRule="exact"/>
        <w:ind w:firstLine="646" w:firstLineChars="0"/>
        <w:jc w:val="left"/>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项目根据监理评估报告分别对“主体结构分布工程质量”“混凝土结构子分部”“模板分项工程”等分项工程进行验收，项目均为“合格”，达到完成目标值。</w:t>
      </w:r>
    </w:p>
    <w:p w14:paraId="6048E5D9">
      <w:pPr>
        <w:keepNext w:val="0"/>
        <w:keepLines w:val="0"/>
        <w:pageBreakBefore w:val="0"/>
        <w:widowControl w:val="0"/>
        <w:kinsoku/>
        <w:wordWrap/>
        <w:overflowPunct/>
        <w:topLinePunct w:val="0"/>
        <w:autoSpaceDE/>
        <w:autoSpaceDN/>
        <w:bidi w:val="0"/>
        <w:adjustRightInd/>
        <w:snapToGrid/>
        <w:spacing w:line="568" w:lineRule="exact"/>
        <w:ind w:firstLine="646" w:firstLineChars="0"/>
        <w:jc w:val="left"/>
        <w:textAlignment w:val="auto"/>
        <w:rPr>
          <w:rFonts w:hint="eastAsia" w:ascii="仿宋_GB2312" w:hAnsi="黑体" w:eastAsia="仿宋_GB2312" w:cs="Times New Roman"/>
          <w:b/>
          <w:sz w:val="32"/>
          <w:szCs w:val="32"/>
          <w:lang w:val="en-US" w:eastAsia="zh-CN"/>
        </w:rPr>
      </w:pPr>
      <w:r>
        <w:rPr>
          <w:rFonts w:hint="eastAsia" w:ascii="仿宋_GB2312" w:hAnsi="黑体" w:eastAsia="仿宋_GB2312" w:cs="Times New Roman"/>
          <w:b/>
          <w:sz w:val="32"/>
          <w:szCs w:val="32"/>
          <w:lang w:val="en-US" w:eastAsia="zh-CN"/>
        </w:rPr>
        <w:t>3.时效指标</w:t>
      </w:r>
    </w:p>
    <w:p w14:paraId="6CC87167">
      <w:pPr>
        <w:keepNext w:val="0"/>
        <w:keepLines w:val="0"/>
        <w:pageBreakBefore w:val="0"/>
        <w:widowControl w:val="0"/>
        <w:kinsoku/>
        <w:wordWrap/>
        <w:overflowPunct/>
        <w:topLinePunct w:val="0"/>
        <w:autoSpaceDE/>
        <w:autoSpaceDN/>
        <w:bidi w:val="0"/>
        <w:adjustRightInd/>
        <w:snapToGrid/>
        <w:spacing w:line="568" w:lineRule="exact"/>
        <w:ind w:firstLine="646" w:firstLineChars="0"/>
        <w:jc w:val="left"/>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项目年度进度计划完成率基本达到目标值，少数项目进度计划未到90%，酌情扣除权重分20%。</w:t>
      </w:r>
    </w:p>
    <w:p w14:paraId="00A7A75D">
      <w:pPr>
        <w:keepNext w:val="0"/>
        <w:keepLines w:val="0"/>
        <w:pageBreakBefore w:val="0"/>
        <w:widowControl w:val="0"/>
        <w:kinsoku/>
        <w:wordWrap/>
        <w:overflowPunct/>
        <w:topLinePunct w:val="0"/>
        <w:autoSpaceDE/>
        <w:autoSpaceDN/>
        <w:bidi w:val="0"/>
        <w:adjustRightInd/>
        <w:snapToGrid/>
        <w:spacing w:line="568" w:lineRule="exact"/>
        <w:ind w:firstLine="646" w:firstLineChars="0"/>
        <w:jc w:val="left"/>
        <w:textAlignment w:val="auto"/>
        <w:rPr>
          <w:rFonts w:hint="eastAsia" w:ascii="仿宋_GB2312" w:hAnsi="仿宋" w:eastAsia="仿宋_GB2312" w:cs="Times New Roman"/>
          <w:b/>
          <w:bCs/>
          <w:sz w:val="32"/>
          <w:szCs w:val="32"/>
          <w:lang w:val="en-US" w:eastAsia="zh-CN"/>
        </w:rPr>
      </w:pPr>
      <w:r>
        <w:rPr>
          <w:rFonts w:hint="eastAsia" w:ascii="仿宋_GB2312" w:hAnsi="仿宋" w:eastAsia="仿宋_GB2312" w:cs="Times New Roman"/>
          <w:b/>
          <w:bCs/>
          <w:sz w:val="32"/>
          <w:szCs w:val="32"/>
          <w:lang w:val="en-US" w:eastAsia="zh-CN"/>
        </w:rPr>
        <w:t>4.成本指标</w:t>
      </w:r>
    </w:p>
    <w:p w14:paraId="21C90C3A">
      <w:pPr>
        <w:keepNext w:val="0"/>
        <w:keepLines w:val="0"/>
        <w:pageBreakBefore w:val="0"/>
        <w:widowControl w:val="0"/>
        <w:kinsoku/>
        <w:wordWrap/>
        <w:overflowPunct/>
        <w:topLinePunct w:val="0"/>
        <w:autoSpaceDE/>
        <w:autoSpaceDN/>
        <w:bidi w:val="0"/>
        <w:adjustRightInd/>
        <w:snapToGrid/>
        <w:spacing w:line="568" w:lineRule="exact"/>
        <w:ind w:firstLine="646" w:firstLineChars="0"/>
        <w:jc w:val="left"/>
        <w:textAlignment w:val="auto"/>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项目成本控制率根据工程造价咨询报告完成情况、2024年度工程款支付情况汇总表和浒关二期科目余额表，均完成目标值。</w:t>
      </w:r>
    </w:p>
    <w:p w14:paraId="6C87AB58">
      <w:pPr>
        <w:autoSpaceDE w:val="0"/>
        <w:autoSpaceDN w:val="0"/>
        <w:spacing w:line="600" w:lineRule="exact"/>
        <w:ind w:firstLine="640" w:firstLineChars="200"/>
        <w:rPr>
          <w:rFonts w:hint="eastAsia" w:ascii="仿宋_GB2312" w:hAnsi="黑体" w:eastAsia="仿宋_GB2312" w:cs="Times New Roman"/>
          <w:b w:val="0"/>
          <w:bCs w:val="0"/>
          <w:kern w:val="2"/>
          <w:sz w:val="32"/>
          <w:szCs w:val="32"/>
          <w:lang w:val="en-US" w:eastAsia="zh-CN"/>
        </w:rPr>
      </w:pPr>
      <w:r>
        <w:rPr>
          <w:rFonts w:hint="eastAsia" w:ascii="仿宋_GB2312" w:hAnsi="仿宋" w:eastAsia="仿宋_GB2312" w:cs="Times New Roman"/>
          <w:b w:val="0"/>
          <w:bCs w:val="0"/>
          <w:sz w:val="32"/>
          <w:szCs w:val="32"/>
          <w:lang w:val="en-US" w:eastAsia="zh-CN"/>
        </w:rPr>
        <w:t>综上，产出指标权重分40分，自评分37.4分。</w:t>
      </w:r>
    </w:p>
    <w:p w14:paraId="1B28EF82">
      <w:pPr>
        <w:keepNext w:val="0"/>
        <w:keepLines w:val="0"/>
        <w:pageBreakBefore w:val="0"/>
        <w:widowControl w:val="0"/>
        <w:numPr>
          <w:ilvl w:val="0"/>
          <w:numId w:val="2"/>
        </w:numPr>
        <w:kinsoku/>
        <w:wordWrap/>
        <w:overflowPunct/>
        <w:topLinePunct w:val="0"/>
        <w:autoSpaceDE/>
        <w:autoSpaceDN/>
        <w:bidi w:val="0"/>
        <w:adjustRightInd/>
        <w:snapToGrid/>
        <w:spacing w:line="568" w:lineRule="exact"/>
        <w:ind w:firstLine="643" w:firstLineChars="200"/>
        <w:jc w:val="left"/>
        <w:textAlignment w:val="auto"/>
        <w:rPr>
          <w:rFonts w:hint="default" w:ascii="楷体_GB2312" w:hAnsi="黑体" w:eastAsia="楷体_GB2312" w:cs="Times New Roman"/>
          <w:b/>
          <w:kern w:val="2"/>
          <w:sz w:val="32"/>
          <w:szCs w:val="32"/>
          <w:lang w:val="en-US" w:eastAsia="zh-CN"/>
        </w:rPr>
      </w:pPr>
      <w:r>
        <w:rPr>
          <w:rFonts w:hint="eastAsia" w:ascii="楷体_GB2312" w:hAnsi="黑体" w:eastAsia="楷体_GB2312" w:cs="Times New Roman"/>
          <w:b/>
          <w:kern w:val="2"/>
          <w:sz w:val="32"/>
          <w:szCs w:val="32"/>
          <w:lang w:val="en-US" w:eastAsia="zh-CN"/>
        </w:rPr>
        <w:t>效益绩效</w:t>
      </w:r>
    </w:p>
    <w:p w14:paraId="330046BF">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黑体" w:eastAsia="仿宋_GB2312" w:cs="Times New Roman"/>
          <w:b w:val="0"/>
          <w:bCs/>
          <w:kern w:val="2"/>
          <w:sz w:val="32"/>
          <w:szCs w:val="32"/>
          <w:lang w:val="en-US" w:eastAsia="zh-CN"/>
        </w:rPr>
      </w:pPr>
      <w:r>
        <w:rPr>
          <w:rFonts w:hint="eastAsia" w:ascii="仿宋_GB2312" w:hAnsi="仿宋" w:eastAsia="仿宋_GB2312" w:cs="Times New Roman"/>
          <w:b w:val="0"/>
          <w:bCs w:val="0"/>
          <w:sz w:val="32"/>
          <w:szCs w:val="32"/>
          <w:lang w:val="en-US" w:eastAsia="zh-CN"/>
        </w:rPr>
        <w:t>项目在效益绩效类</w:t>
      </w:r>
      <w:r>
        <w:rPr>
          <w:rFonts w:hint="eastAsia" w:ascii="仿宋_GB2312" w:hAnsi="黑体" w:eastAsia="仿宋_GB2312" w:cs="Times New Roman"/>
          <w:b w:val="0"/>
          <w:bCs/>
          <w:kern w:val="2"/>
          <w:sz w:val="32"/>
          <w:szCs w:val="32"/>
          <w:lang w:val="en-US" w:eastAsia="zh-CN"/>
        </w:rPr>
        <w:t>经济效益方面，专项债券当期利息支付率完成100%；社会效益方面，农民工工资专户开户率达到100%；生态效益方面，项目采用节能环保建筑材料；可持续发展方面，医院及参建单位相关部门组织开展安全生产培训。效益绩效实际完成值均达到年度指标值。</w:t>
      </w:r>
    </w:p>
    <w:p w14:paraId="59CE13E8">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黑体" w:eastAsia="仿宋_GB2312" w:cs="Times New Roman"/>
          <w:b w:val="0"/>
          <w:bCs/>
          <w:kern w:val="2"/>
          <w:sz w:val="32"/>
          <w:szCs w:val="32"/>
          <w:lang w:val="en-US" w:eastAsia="zh-CN"/>
        </w:rPr>
      </w:pPr>
      <w:r>
        <w:rPr>
          <w:rFonts w:hint="eastAsia" w:ascii="仿宋_GB2312" w:hAnsi="黑体" w:eastAsia="仿宋_GB2312" w:cs="Times New Roman"/>
          <w:b w:val="0"/>
          <w:bCs/>
          <w:kern w:val="2"/>
          <w:sz w:val="32"/>
          <w:szCs w:val="32"/>
          <w:lang w:val="en-US" w:eastAsia="zh-CN"/>
        </w:rPr>
        <w:t>综上，效益指标权重分30分，自评分30分。</w:t>
      </w:r>
    </w:p>
    <w:p w14:paraId="7FCDDC78">
      <w:pPr>
        <w:keepNext w:val="0"/>
        <w:keepLines w:val="0"/>
        <w:pageBreakBefore w:val="0"/>
        <w:widowControl w:val="0"/>
        <w:numPr>
          <w:ilvl w:val="0"/>
          <w:numId w:val="2"/>
        </w:numPr>
        <w:kinsoku/>
        <w:wordWrap/>
        <w:overflowPunct/>
        <w:topLinePunct w:val="0"/>
        <w:autoSpaceDE/>
        <w:autoSpaceDN/>
        <w:bidi w:val="0"/>
        <w:adjustRightInd/>
        <w:snapToGrid/>
        <w:spacing w:line="568" w:lineRule="exact"/>
        <w:ind w:firstLine="643" w:firstLineChars="200"/>
        <w:jc w:val="left"/>
        <w:textAlignment w:val="auto"/>
        <w:rPr>
          <w:rFonts w:hint="default" w:ascii="楷体_GB2312" w:hAnsi="黑体" w:eastAsia="楷体_GB2312" w:cs="Times New Roman"/>
          <w:b/>
          <w:bCs w:val="0"/>
          <w:kern w:val="2"/>
          <w:sz w:val="32"/>
          <w:szCs w:val="32"/>
          <w:lang w:val="en-US" w:eastAsia="zh-CN"/>
        </w:rPr>
      </w:pPr>
      <w:r>
        <w:rPr>
          <w:rFonts w:hint="eastAsia" w:ascii="楷体_GB2312" w:hAnsi="黑体" w:eastAsia="楷体_GB2312" w:cs="Times New Roman"/>
          <w:b/>
          <w:bCs w:val="0"/>
          <w:kern w:val="2"/>
          <w:sz w:val="32"/>
          <w:szCs w:val="32"/>
          <w:lang w:val="en-US" w:eastAsia="zh-CN"/>
        </w:rPr>
        <w:t>满意度</w:t>
      </w:r>
    </w:p>
    <w:p w14:paraId="4D3D92A6">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0" w:firstLineChars="200"/>
        <w:jc w:val="both"/>
        <w:textAlignment w:val="auto"/>
        <w:rPr>
          <w:rFonts w:hint="default" w:ascii="仿宋_GB2312" w:hAnsi="仿宋" w:eastAsia="仿宋_GB2312" w:cs="Times New Roman"/>
          <w:b w:val="0"/>
          <w:bCs w:val="0"/>
          <w:sz w:val="32"/>
          <w:szCs w:val="32"/>
          <w:lang w:val="en-US" w:eastAsia="zh-CN"/>
        </w:rPr>
      </w:pPr>
      <w:r>
        <w:rPr>
          <w:rFonts w:hint="eastAsia" w:ascii="仿宋_GB2312" w:hAnsi="仿宋_GB2312" w:eastAsia="仿宋_GB2312" w:cs="仿宋_GB2312"/>
          <w:b w:val="0"/>
          <w:bCs/>
          <w:kern w:val="2"/>
          <w:sz w:val="32"/>
          <w:szCs w:val="32"/>
          <w:lang w:val="en-US" w:eastAsia="zh-CN"/>
        </w:rPr>
        <w:t>医院相关部门组织参建单位满意度调查问卷，该项目满意度100%。满意度评价与绩效评价有关文件指标界定存在不一致的情况，酌情扣除权重分20%。</w:t>
      </w:r>
    </w:p>
    <w:p w14:paraId="1AE1DC94">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仿宋_GB2312" w:eastAsia="仿宋_GB2312" w:cs="仿宋_GB2312"/>
          <w:b/>
          <w:bCs/>
          <w:kern w:val="2"/>
          <w:sz w:val="32"/>
          <w:szCs w:val="32"/>
          <w:lang w:val="en-US" w:eastAsia="zh-CN"/>
        </w:rPr>
      </w:pPr>
      <w:r>
        <w:rPr>
          <w:rFonts w:hint="eastAsia" w:ascii="仿宋_GB2312" w:hAnsi="仿宋" w:eastAsia="仿宋_GB2312" w:cs="Times New Roman"/>
          <w:b w:val="0"/>
          <w:bCs w:val="0"/>
          <w:sz w:val="32"/>
          <w:szCs w:val="32"/>
          <w:lang w:val="en-US" w:eastAsia="zh-CN"/>
        </w:rPr>
        <w:t>综上，满意度指标权重分10分，自评分8分。</w:t>
      </w:r>
    </w:p>
    <w:p w14:paraId="7F054F7C">
      <w:pPr>
        <w:keepNext w:val="0"/>
        <w:keepLines w:val="0"/>
        <w:pageBreakBefore w:val="0"/>
        <w:widowControl w:val="0"/>
        <w:numPr>
          <w:ilvl w:val="0"/>
          <w:numId w:val="1"/>
        </w:numPr>
        <w:kinsoku/>
        <w:wordWrap/>
        <w:overflowPunct/>
        <w:topLinePunct w:val="0"/>
        <w:autoSpaceDE/>
        <w:autoSpaceDN/>
        <w:bidi w:val="0"/>
        <w:adjustRightInd/>
        <w:snapToGrid/>
        <w:spacing w:line="568" w:lineRule="exact"/>
        <w:ind w:firstLine="640" w:firstLineChars="200"/>
        <w:jc w:val="left"/>
        <w:textAlignment w:val="auto"/>
        <w:rPr>
          <w:rFonts w:hint="default" w:ascii="黑体" w:hAnsi="黑体" w:eastAsia="黑体" w:cs="Times New Roman"/>
          <w:kern w:val="2"/>
          <w:sz w:val="32"/>
          <w:szCs w:val="32"/>
          <w:lang w:val="en-US" w:eastAsia="zh-CN"/>
        </w:rPr>
      </w:pPr>
      <w:r>
        <w:rPr>
          <w:rFonts w:hint="eastAsia" w:ascii="黑体" w:hAnsi="黑体" w:eastAsia="黑体" w:cs="Times New Roman"/>
          <w:kern w:val="2"/>
          <w:sz w:val="32"/>
          <w:szCs w:val="32"/>
          <w:lang w:val="en-US" w:eastAsia="zh-CN"/>
        </w:rPr>
        <w:t>存在的问题</w:t>
      </w:r>
    </w:p>
    <w:p w14:paraId="6F34EF77">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3" w:firstLineChars="200"/>
        <w:jc w:val="left"/>
        <w:textAlignment w:val="auto"/>
        <w:rPr>
          <w:rFonts w:hint="eastAsia" w:ascii="楷体_GB2312" w:hAnsi="黑体" w:eastAsia="楷体_GB2312" w:cs="Times New Roman"/>
          <w:b/>
          <w:kern w:val="2"/>
          <w:sz w:val="32"/>
          <w:szCs w:val="32"/>
          <w:lang w:val="en-US" w:eastAsia="zh-CN"/>
        </w:rPr>
      </w:pPr>
      <w:r>
        <w:rPr>
          <w:rFonts w:hint="eastAsia" w:ascii="楷体_GB2312" w:hAnsi="黑体" w:eastAsia="楷体_GB2312" w:cs="Times New Roman"/>
          <w:b/>
          <w:kern w:val="2"/>
          <w:sz w:val="32"/>
          <w:szCs w:val="32"/>
          <w:lang w:val="en-US" w:eastAsia="zh-CN"/>
        </w:rPr>
        <w:t>（一）指标内涵、指标完成值不明确，后期审核不易界定。</w:t>
      </w:r>
    </w:p>
    <w:p w14:paraId="61DF14CD">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项目工程总包合同中包含基坑、土石方、裙房连廊、科研楼、住院楼、给排水工程、消防工程、电气工、暖通风、暖通水工程、动力工程等多项内容。指标值设置“机电工程”，目标值完成60%，无法对应具体合同内容，且因包含类别多，完成值60%也无法确认；其次设置“年度进度计划完成率”指标，对于“进度计划”有多个衡量维度，如按工程进度、投资进度、付款进度、完成产值进度，缺少相对确认的标准。</w:t>
      </w:r>
    </w:p>
    <w:p w14:paraId="3B2E74A4">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3" w:firstLineChars="200"/>
        <w:jc w:val="left"/>
        <w:textAlignment w:val="auto"/>
        <w:rPr>
          <w:rFonts w:hint="default" w:ascii="楷体_GB2312" w:hAnsi="黑体" w:eastAsia="楷体_GB2312" w:cs="Times New Roman"/>
          <w:b/>
          <w:kern w:val="2"/>
          <w:sz w:val="32"/>
          <w:szCs w:val="32"/>
          <w:lang w:val="en-US" w:eastAsia="zh-CN"/>
        </w:rPr>
      </w:pPr>
      <w:r>
        <w:rPr>
          <w:rFonts w:hint="eastAsia" w:ascii="楷体_GB2312" w:hAnsi="黑体" w:eastAsia="楷体_GB2312" w:cs="Times New Roman"/>
          <w:b/>
          <w:kern w:val="2"/>
          <w:sz w:val="32"/>
          <w:szCs w:val="32"/>
          <w:lang w:val="en-US" w:eastAsia="zh-CN"/>
        </w:rPr>
        <w:t>（二）指标权重设置</w:t>
      </w:r>
    </w:p>
    <w:p w14:paraId="0DFB02DA">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通常绩效评价指标权重的设置，遵循同类指标的权重应一致。该项目的不同类别、以及同类指标的权重设置均有差异。如产出类下二级指标包括数量、质量、时效、成本四类，权重分别为5分、9分、8分、8分，类似情况在效益类指标同样存在</w:t>
      </w:r>
      <w:r>
        <w:rPr>
          <w:rFonts w:hint="eastAsia" w:ascii="仿宋_GB2312" w:hAnsi="仿宋" w:eastAsia="仿宋_GB2312" w:cs="Times New Roman"/>
          <w:sz w:val="32"/>
          <w:szCs w:val="32"/>
          <w:highlight w:val="none"/>
          <w:lang w:val="en-US" w:eastAsia="zh-CN"/>
        </w:rPr>
        <w:t>。</w:t>
      </w:r>
    </w:p>
    <w:p w14:paraId="17D1ADBF">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3" w:firstLineChars="200"/>
        <w:jc w:val="left"/>
        <w:textAlignment w:val="auto"/>
        <w:rPr>
          <w:rFonts w:hint="default" w:ascii="楷体_GB2312" w:hAnsi="黑体" w:eastAsia="楷体_GB2312" w:cs="Times New Roman"/>
          <w:b/>
          <w:kern w:val="2"/>
          <w:sz w:val="32"/>
          <w:szCs w:val="32"/>
          <w:lang w:val="en-US" w:eastAsia="zh-CN"/>
        </w:rPr>
      </w:pPr>
      <w:r>
        <w:rPr>
          <w:rFonts w:hint="eastAsia" w:ascii="楷体_GB2312" w:hAnsi="黑体" w:eastAsia="楷体_GB2312" w:cs="Times New Roman"/>
          <w:b/>
          <w:kern w:val="2"/>
          <w:sz w:val="32"/>
          <w:szCs w:val="32"/>
          <w:lang w:val="en-US" w:eastAsia="zh-CN"/>
        </w:rPr>
        <w:t>（三）满意度指标</w:t>
      </w:r>
    </w:p>
    <w:p w14:paraId="50207470">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 w:eastAsia="仿宋_GB2312" w:cs="Times New Roman"/>
          <w:sz w:val="32"/>
          <w:szCs w:val="32"/>
          <w:lang w:val="en-US" w:eastAsia="zh-CN"/>
        </w:rPr>
        <w:t>项目单位对供应商的考核提供满意度指标，与绩效评价有关文件满意度指标要求存在界定标准不一致的情况。</w:t>
      </w:r>
    </w:p>
    <w:p w14:paraId="4C1FA279">
      <w:pPr>
        <w:keepNext w:val="0"/>
        <w:keepLines w:val="0"/>
        <w:pageBreakBefore w:val="0"/>
        <w:widowControl w:val="0"/>
        <w:numPr>
          <w:ilvl w:val="0"/>
          <w:numId w:val="1"/>
        </w:numPr>
        <w:kinsoku/>
        <w:wordWrap/>
        <w:overflowPunct/>
        <w:topLinePunct w:val="0"/>
        <w:autoSpaceDE/>
        <w:autoSpaceDN/>
        <w:bidi w:val="0"/>
        <w:adjustRightInd/>
        <w:snapToGrid/>
        <w:spacing w:line="568" w:lineRule="exact"/>
        <w:ind w:firstLine="640" w:firstLineChars="200"/>
        <w:jc w:val="left"/>
        <w:textAlignment w:val="auto"/>
        <w:rPr>
          <w:rFonts w:hint="default" w:ascii="黑体" w:hAnsi="黑体" w:eastAsia="黑体" w:cs="Times New Roman"/>
          <w:kern w:val="2"/>
          <w:sz w:val="32"/>
          <w:szCs w:val="32"/>
          <w:lang w:val="en-US" w:eastAsia="zh-CN"/>
        </w:rPr>
      </w:pPr>
      <w:r>
        <w:rPr>
          <w:rFonts w:hint="eastAsia" w:ascii="黑体" w:hAnsi="黑体" w:eastAsia="黑体" w:cs="Times New Roman"/>
          <w:kern w:val="2"/>
          <w:sz w:val="32"/>
          <w:szCs w:val="32"/>
          <w:lang w:val="en-US" w:eastAsia="zh-CN"/>
        </w:rPr>
        <w:t>有关建议</w:t>
      </w:r>
    </w:p>
    <w:p w14:paraId="2EF0F348">
      <w:pPr>
        <w:keepNext w:val="0"/>
        <w:keepLines w:val="0"/>
        <w:pageBreakBefore w:val="0"/>
        <w:widowControl w:val="0"/>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 w:eastAsia="仿宋_GB2312" w:cs="Times New Roman"/>
          <w:sz w:val="32"/>
          <w:szCs w:val="32"/>
          <w:lang w:val="en-US" w:eastAsia="zh-CN"/>
        </w:rPr>
        <w:t>针对性的学习《地方政府专项债券项目资金绩效管理办法》（财预〔2021〕61号）、《转发财政部关于印发&lt;地方政府专项债券项目资金绩效管理办法&gt;的通知》（苏财办〔2021〕46号）等文件，掌握专项债券项目资金绩效指标的设置；特别是针对工程建设项目，应结合工程项目实施的特点，设置内涵较为清晰或相对有明确界定标准的指标。</w:t>
      </w:r>
    </w:p>
    <w:p w14:paraId="58B45D51">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仿宋_GB2312" w:eastAsia="仿宋_GB2312" w:cs="仿宋_GB2312"/>
          <w:kern w:val="2"/>
          <w:sz w:val="32"/>
          <w:szCs w:val="32"/>
          <w:lang w:val="en-US" w:eastAsia="zh-CN"/>
        </w:rPr>
      </w:pPr>
    </w:p>
    <w:p w14:paraId="55DE8F9A">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0" w:firstLineChars="200"/>
        <w:jc w:val="both"/>
        <w:textAlignment w:val="auto"/>
        <w:rPr>
          <w:rFonts w:hint="eastAsia" w:ascii="仿宋_GB2312" w:hAnsi="仿宋_GB2312" w:eastAsia="仿宋_GB2312" w:cs="仿宋_GB2312"/>
          <w:kern w:val="2"/>
          <w:sz w:val="32"/>
          <w:szCs w:val="32"/>
          <w:lang w:val="en-US" w:eastAsia="zh-CN"/>
        </w:rPr>
      </w:pPr>
    </w:p>
    <w:p w14:paraId="7DA98FBC">
      <w:pPr>
        <w:keepNext w:val="0"/>
        <w:keepLines w:val="0"/>
        <w:pageBreakBefore w:val="0"/>
        <w:widowControl w:val="0"/>
        <w:numPr>
          <w:ilvl w:val="0"/>
          <w:numId w:val="0"/>
        </w:numPr>
        <w:kinsoku/>
        <w:wordWrap/>
        <w:overflowPunct/>
        <w:topLinePunct w:val="0"/>
        <w:autoSpaceDE/>
        <w:autoSpaceDN/>
        <w:bidi w:val="0"/>
        <w:adjustRightInd/>
        <w:snapToGrid/>
        <w:spacing w:line="568" w:lineRule="exact"/>
        <w:jc w:val="both"/>
        <w:textAlignment w:val="auto"/>
        <w:rPr>
          <w:rFonts w:hint="eastAsia" w:ascii="仿宋_GB2312" w:hAnsi="仿宋_GB2312" w:eastAsia="仿宋_GB2312" w:cs="仿宋_GB2312"/>
          <w:kern w:val="2"/>
          <w:sz w:val="32"/>
          <w:szCs w:val="32"/>
          <w:lang w:val="en-US" w:eastAsia="zh-CN"/>
        </w:rPr>
      </w:pPr>
    </w:p>
    <w:p w14:paraId="4FCA33DC">
      <w:pPr>
        <w:keepNext w:val="0"/>
        <w:keepLines w:val="0"/>
        <w:pageBreakBefore w:val="0"/>
        <w:widowControl w:val="0"/>
        <w:numPr>
          <w:ilvl w:val="0"/>
          <w:numId w:val="0"/>
        </w:numPr>
        <w:kinsoku/>
        <w:wordWrap/>
        <w:overflowPunct/>
        <w:topLinePunct w:val="0"/>
        <w:autoSpaceDE/>
        <w:autoSpaceDN/>
        <w:bidi w:val="0"/>
        <w:adjustRightInd/>
        <w:snapToGrid/>
        <w:spacing w:line="568" w:lineRule="exact"/>
        <w:ind w:firstLine="640" w:firstLineChars="200"/>
        <w:jc w:val="both"/>
        <w:textAlignment w:val="auto"/>
        <w:rPr>
          <w:rFonts w:hint="default"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 xml:space="preserve">                              </w:t>
      </w:r>
    </w:p>
    <w:p w14:paraId="100D6CF1">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rFonts w:hint="eastAsia" w:ascii="仿宋_GB2312" w:hAnsi="仿宋_GB2312" w:eastAsia="仿宋_GB2312" w:cs="仿宋_GB2312"/>
          <w:sz w:val="32"/>
          <w:szCs w:val="32"/>
          <w:lang w:val="en-US" w:eastAsia="zh-CN"/>
        </w:rPr>
      </w:pPr>
    </w:p>
    <w:sectPr>
      <w:footerReference r:id="rId3" w:type="default"/>
      <w:type w:val="continuous"/>
      <w:pgSz w:w="11910" w:h="16840"/>
      <w:pgMar w:top="2098" w:right="1474" w:bottom="1984" w:left="1587"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367364-9D00-4CA4-8E66-8FD746AC442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8BFE5BB-8CE5-49B3-9B77-0D80158E2481}"/>
  </w:font>
  <w:font w:name="方正黑体_GBK">
    <w:altName w:val="微软雅黑"/>
    <w:panose1 w:val="03000509000000000000"/>
    <w:charset w:val="86"/>
    <w:family w:val="swiss"/>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3" w:fontKey="{29D078BF-FAB6-428D-BA42-A7D5A67E75C8}"/>
  </w:font>
  <w:font w:name="楷体_GB2312">
    <w:panose1 w:val="02010609030101010101"/>
    <w:charset w:val="86"/>
    <w:family w:val="auto"/>
    <w:pitch w:val="default"/>
    <w:sig w:usb0="00000001" w:usb1="080E0000" w:usb2="00000000" w:usb3="00000000" w:csb0="00040000" w:csb1="00000000"/>
    <w:embedRegular r:id="rId4" w:fontKey="{0993B46F-C441-41A5-9604-BAC25676B81F}"/>
  </w:font>
  <w:font w:name="仿宋_GB2312">
    <w:panose1 w:val="02010609030101010101"/>
    <w:charset w:val="86"/>
    <w:family w:val="auto"/>
    <w:pitch w:val="default"/>
    <w:sig w:usb0="00000001" w:usb1="080E0000" w:usb2="00000000" w:usb3="00000000" w:csb0="00040000" w:csb1="00000000"/>
    <w:embedRegular r:id="rId5" w:fontKey="{994C7A85-79F7-499C-BAAE-DF019CF726CA}"/>
  </w:font>
  <w:font w:name="仿宋">
    <w:panose1 w:val="02010609060101010101"/>
    <w:charset w:val="86"/>
    <w:family w:val="auto"/>
    <w:pitch w:val="default"/>
    <w:sig w:usb0="800002BF" w:usb1="38CF7CFA" w:usb2="00000016" w:usb3="00000000" w:csb0="00040001" w:csb1="00000000"/>
    <w:embedRegular r:id="rId6" w:fontKey="{F6664B7D-67E7-4922-8ECC-23440E106619}"/>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5873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4BDFC0">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4BDFC0">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ED80C4"/>
    <w:multiLevelType w:val="singleLevel"/>
    <w:tmpl w:val="9BED80C4"/>
    <w:lvl w:ilvl="0" w:tentative="0">
      <w:start w:val="1"/>
      <w:numFmt w:val="chineseCounting"/>
      <w:suff w:val="nothing"/>
      <w:lvlText w:val="%1、"/>
      <w:lvlJc w:val="left"/>
      <w:rPr>
        <w:rFonts w:hint="eastAsia"/>
      </w:rPr>
    </w:lvl>
  </w:abstractNum>
  <w:abstractNum w:abstractNumId="1">
    <w:nsid w:val="64347A68"/>
    <w:multiLevelType w:val="singleLevel"/>
    <w:tmpl w:val="64347A68"/>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1N2RiYzNlYjRjZjM0M2Q5YzRhODZjZTY5ODZkODEifQ=="/>
  </w:docVars>
  <w:rsids>
    <w:rsidRoot w:val="006A0286"/>
    <w:rsid w:val="0000186F"/>
    <w:rsid w:val="00027842"/>
    <w:rsid w:val="000F0010"/>
    <w:rsid w:val="001076FD"/>
    <w:rsid w:val="00112A3C"/>
    <w:rsid w:val="0012335B"/>
    <w:rsid w:val="00180042"/>
    <w:rsid w:val="001D43CE"/>
    <w:rsid w:val="001E1F08"/>
    <w:rsid w:val="001F5652"/>
    <w:rsid w:val="002034C4"/>
    <w:rsid w:val="00223670"/>
    <w:rsid w:val="002F39B9"/>
    <w:rsid w:val="00317F35"/>
    <w:rsid w:val="003D4D43"/>
    <w:rsid w:val="00412A90"/>
    <w:rsid w:val="00427AA3"/>
    <w:rsid w:val="00453872"/>
    <w:rsid w:val="00485FCA"/>
    <w:rsid w:val="00496584"/>
    <w:rsid w:val="004B1555"/>
    <w:rsid w:val="004E3E98"/>
    <w:rsid w:val="004F2889"/>
    <w:rsid w:val="00541FD2"/>
    <w:rsid w:val="0055497B"/>
    <w:rsid w:val="0058181F"/>
    <w:rsid w:val="005C5968"/>
    <w:rsid w:val="005D094F"/>
    <w:rsid w:val="005D61F8"/>
    <w:rsid w:val="006032DC"/>
    <w:rsid w:val="006A0286"/>
    <w:rsid w:val="006F1257"/>
    <w:rsid w:val="006F2AB8"/>
    <w:rsid w:val="00705B52"/>
    <w:rsid w:val="0072674E"/>
    <w:rsid w:val="007416BA"/>
    <w:rsid w:val="0075652D"/>
    <w:rsid w:val="00784065"/>
    <w:rsid w:val="007A754E"/>
    <w:rsid w:val="00830C91"/>
    <w:rsid w:val="008C735A"/>
    <w:rsid w:val="008D7527"/>
    <w:rsid w:val="008F6FC9"/>
    <w:rsid w:val="00926E98"/>
    <w:rsid w:val="0095504B"/>
    <w:rsid w:val="009B2D68"/>
    <w:rsid w:val="00A14DE2"/>
    <w:rsid w:val="00A72387"/>
    <w:rsid w:val="00A863A2"/>
    <w:rsid w:val="00AA24DC"/>
    <w:rsid w:val="00AC69E3"/>
    <w:rsid w:val="00B14C89"/>
    <w:rsid w:val="00B33955"/>
    <w:rsid w:val="00BD1F01"/>
    <w:rsid w:val="00CB64D3"/>
    <w:rsid w:val="00CD089C"/>
    <w:rsid w:val="00D20830"/>
    <w:rsid w:val="00D71C46"/>
    <w:rsid w:val="00D7216E"/>
    <w:rsid w:val="00D855DD"/>
    <w:rsid w:val="00D85F96"/>
    <w:rsid w:val="00DE067D"/>
    <w:rsid w:val="00DF053C"/>
    <w:rsid w:val="00E1011A"/>
    <w:rsid w:val="00E70A55"/>
    <w:rsid w:val="00EB03FD"/>
    <w:rsid w:val="00ED06B2"/>
    <w:rsid w:val="00EF65E3"/>
    <w:rsid w:val="00F161C4"/>
    <w:rsid w:val="00F35A70"/>
    <w:rsid w:val="00F4202D"/>
    <w:rsid w:val="00FB5E7E"/>
    <w:rsid w:val="00FC405A"/>
    <w:rsid w:val="00FC7877"/>
    <w:rsid w:val="01E74ACC"/>
    <w:rsid w:val="02C56ECC"/>
    <w:rsid w:val="03D33559"/>
    <w:rsid w:val="05921DDD"/>
    <w:rsid w:val="081443B4"/>
    <w:rsid w:val="096A1BAA"/>
    <w:rsid w:val="0B3643CE"/>
    <w:rsid w:val="0BBA59F6"/>
    <w:rsid w:val="0C6D6365"/>
    <w:rsid w:val="0EA8792F"/>
    <w:rsid w:val="0F157A4C"/>
    <w:rsid w:val="10AC6D7F"/>
    <w:rsid w:val="148C27A9"/>
    <w:rsid w:val="17C4785D"/>
    <w:rsid w:val="1B387955"/>
    <w:rsid w:val="1C413795"/>
    <w:rsid w:val="1DED1F17"/>
    <w:rsid w:val="1EC342BB"/>
    <w:rsid w:val="21FE3AC7"/>
    <w:rsid w:val="27E47234"/>
    <w:rsid w:val="2929639E"/>
    <w:rsid w:val="29693094"/>
    <w:rsid w:val="2B067F44"/>
    <w:rsid w:val="2B413ABE"/>
    <w:rsid w:val="2CFC0B7C"/>
    <w:rsid w:val="2F0C2E96"/>
    <w:rsid w:val="2F4B01A5"/>
    <w:rsid w:val="314A128B"/>
    <w:rsid w:val="32827D75"/>
    <w:rsid w:val="331217FF"/>
    <w:rsid w:val="363457C8"/>
    <w:rsid w:val="3AFB470B"/>
    <w:rsid w:val="3F3B6CCA"/>
    <w:rsid w:val="404A11FB"/>
    <w:rsid w:val="41D13E3D"/>
    <w:rsid w:val="4432419B"/>
    <w:rsid w:val="44A33A72"/>
    <w:rsid w:val="44F966DC"/>
    <w:rsid w:val="46105703"/>
    <w:rsid w:val="4A0330F2"/>
    <w:rsid w:val="4B904E59"/>
    <w:rsid w:val="4C104426"/>
    <w:rsid w:val="4C651E42"/>
    <w:rsid w:val="4EF37BD9"/>
    <w:rsid w:val="4F812E92"/>
    <w:rsid w:val="4FEC43A9"/>
    <w:rsid w:val="51422751"/>
    <w:rsid w:val="52814C10"/>
    <w:rsid w:val="54E040B7"/>
    <w:rsid w:val="575B456D"/>
    <w:rsid w:val="584D3D67"/>
    <w:rsid w:val="5C4E1BEB"/>
    <w:rsid w:val="5C952077"/>
    <w:rsid w:val="5D5647B9"/>
    <w:rsid w:val="5E6D2442"/>
    <w:rsid w:val="63CC1360"/>
    <w:rsid w:val="66BA7413"/>
    <w:rsid w:val="67256A31"/>
    <w:rsid w:val="681B1178"/>
    <w:rsid w:val="69A252A7"/>
    <w:rsid w:val="69BB2047"/>
    <w:rsid w:val="69FC7630"/>
    <w:rsid w:val="6AE65E85"/>
    <w:rsid w:val="6B462B43"/>
    <w:rsid w:val="6B7C455F"/>
    <w:rsid w:val="6E425D9B"/>
    <w:rsid w:val="6EB51BF8"/>
    <w:rsid w:val="6F0A08FB"/>
    <w:rsid w:val="6FC32B3D"/>
    <w:rsid w:val="6FF466F4"/>
    <w:rsid w:val="707D7387"/>
    <w:rsid w:val="71613C64"/>
    <w:rsid w:val="72A050D2"/>
    <w:rsid w:val="73106488"/>
    <w:rsid w:val="75D21A46"/>
    <w:rsid w:val="768C7E47"/>
    <w:rsid w:val="77D53A70"/>
    <w:rsid w:val="789F61E0"/>
    <w:rsid w:val="7A2B7FF7"/>
    <w:rsid w:val="7D1C7A4B"/>
    <w:rsid w:val="7D206040"/>
    <w:rsid w:val="7F0605F4"/>
    <w:rsid w:val="7F1D5475"/>
    <w:rsid w:val="7F5F640D"/>
    <w:rsid w:val="7FBF5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paragraph" w:styleId="2">
    <w:name w:val="heading 1"/>
    <w:basedOn w:val="1"/>
    <w:next w:val="1"/>
    <w:qFormat/>
    <w:uiPriority w:val="1"/>
    <w:pPr>
      <w:ind w:left="100"/>
      <w:outlineLvl w:val="0"/>
    </w:pPr>
    <w:rPr>
      <w:rFonts w:ascii="宋体" w:hAnsi="宋体" w:eastAsia="宋体"/>
      <w:sz w:val="36"/>
      <w:szCs w:val="36"/>
    </w:rPr>
  </w:style>
  <w:style w:type="paragraph" w:styleId="3">
    <w:name w:val="heading 2"/>
    <w:basedOn w:val="1"/>
    <w:next w:val="1"/>
    <w:qFormat/>
    <w:uiPriority w:val="1"/>
    <w:pPr>
      <w:ind w:left="-21" w:firstLine="2592"/>
      <w:outlineLvl w:val="1"/>
    </w:pPr>
    <w:rPr>
      <w:rFonts w:ascii="宋体" w:hAnsi="宋体" w:eastAsia="宋体"/>
      <w:sz w:val="32"/>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pPr>
      <w:spacing w:before="207"/>
      <w:ind w:left="120"/>
    </w:pPr>
    <w:rPr>
      <w:rFonts w:ascii="宋体" w:hAnsi="宋体" w:eastAsia="宋体"/>
      <w:sz w:val="30"/>
      <w:szCs w:val="30"/>
    </w:rPr>
  </w:style>
  <w:style w:type="paragraph" w:styleId="5">
    <w:name w:val="footer"/>
    <w:basedOn w:val="1"/>
    <w:link w:val="15"/>
    <w:autoRedefine/>
    <w:unhideWhenUsed/>
    <w:qFormat/>
    <w:uiPriority w:val="99"/>
    <w:pPr>
      <w:tabs>
        <w:tab w:val="center" w:pos="4153"/>
        <w:tab w:val="right" w:pos="8306"/>
      </w:tabs>
      <w:snapToGrid w:val="0"/>
    </w:pPr>
    <w:rPr>
      <w:sz w:val="18"/>
      <w:szCs w:val="18"/>
    </w:rPr>
  </w:style>
  <w:style w:type="paragraph" w:styleId="6">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autoRedefine/>
    <w:semiHidden/>
    <w:unhideWhenUsed/>
    <w:qFormat/>
    <w:uiPriority w:val="2"/>
    <w:tblPr>
      <w:tblCellMar>
        <w:top w:w="0" w:type="dxa"/>
        <w:left w:w="0" w:type="dxa"/>
        <w:bottom w:w="0" w:type="dxa"/>
        <w:right w:w="0" w:type="dxa"/>
      </w:tblCellMar>
    </w:tblPr>
  </w:style>
  <w:style w:type="paragraph" w:styleId="11">
    <w:name w:val="List Paragraph"/>
    <w:basedOn w:val="1"/>
    <w:autoRedefine/>
    <w:qFormat/>
    <w:uiPriority w:val="1"/>
  </w:style>
  <w:style w:type="paragraph" w:customStyle="1" w:styleId="12">
    <w:name w:val="Table Paragraph"/>
    <w:basedOn w:val="1"/>
    <w:autoRedefine/>
    <w:qFormat/>
    <w:uiPriority w:val="1"/>
  </w:style>
  <w:style w:type="paragraph" w:customStyle="1" w:styleId="13">
    <w:name w:val="Default"/>
    <w:autoRedefine/>
    <w:qFormat/>
    <w:uiPriority w:val="0"/>
    <w:pPr>
      <w:widowControl w:val="0"/>
      <w:autoSpaceDE w:val="0"/>
      <w:autoSpaceDN w:val="0"/>
      <w:adjustRightInd w:val="0"/>
    </w:pPr>
    <w:rPr>
      <w:rFonts w:ascii="方正黑体_GBK" w:hAnsi="方正黑体_GBK" w:cs="方正黑体_GBK" w:eastAsiaTheme="minorEastAsia"/>
      <w:color w:val="000000"/>
      <w:sz w:val="24"/>
      <w:szCs w:val="24"/>
      <w:lang w:val="en-US" w:eastAsia="en-US" w:bidi="ar-SA"/>
    </w:rPr>
  </w:style>
  <w:style w:type="character" w:customStyle="1" w:styleId="14">
    <w:name w:val="页眉 字符"/>
    <w:basedOn w:val="9"/>
    <w:link w:val="6"/>
    <w:autoRedefine/>
    <w:qFormat/>
    <w:uiPriority w:val="99"/>
    <w:rPr>
      <w:sz w:val="18"/>
      <w:szCs w:val="18"/>
    </w:rPr>
  </w:style>
  <w:style w:type="character" w:customStyle="1" w:styleId="15">
    <w:name w:val="页脚 字符"/>
    <w:basedOn w:val="9"/>
    <w:link w:val="5"/>
    <w:autoRedefine/>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3046</Words>
  <Characters>3294</Characters>
  <Lines>36</Lines>
  <Paragraphs>10</Paragraphs>
  <TotalTime>0</TotalTime>
  <ScaleCrop>false</ScaleCrop>
  <LinksUpToDate>false</LinksUpToDate>
  <CharactersWithSpaces>3357</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2021-08-19T09:37:00Z</dcterms:created>
  <dc:creator>张肖军(拟稿)</dc:creator>
  <cp:lastModifiedBy>林晓峰</cp:lastModifiedBy>
  <cp:lastPrinted>2025-06-22T23:39:00Z</cp:lastPrinted>
  <dcterms:modified xsi:type="dcterms:W3CDTF">2025-06-27T03:02:07Z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2020-09-01T00:00:00Z</vt:filetime>
  </property>
  <property fmtid="{D5CDD505-2E9C-101B-9397-08002B2CF9AE}" pid="3" name="Creator">
    <vt:lpwstr>Adobe Acrobat Pro 11.0.7</vt:lpwstr>
  </property>
  <property fmtid="{D5CDD505-2E9C-101B-9397-08002B2CF9AE}" pid="4" name="LastSaved">
    <vt:filetime>2021-08-19T00:00:00Z</vt:filetime>
  </property>
  <property fmtid="{D5CDD505-2E9C-101B-9397-08002B2CF9AE}" pid="5" name="KSOProductBuildVer">
    <vt:lpwstr>2052-12.1.0.17857</vt:lpwstr>
  </property>
  <property fmtid="{D5CDD505-2E9C-101B-9397-08002B2CF9AE}" pid="6" name="ICV">
    <vt:lpwstr>6110B7415DC740C58185CD86345CBEB1</vt:lpwstr>
  </property>
  <property fmtid="{D5CDD505-2E9C-101B-9397-08002B2CF9AE}" pid="7" name="KSOTemplateDocerSaveRecord">
    <vt:lpwstr>eyJoZGlkIjoiZWY3NTc5N2YxMGFiMzJmZTU5MTY4N2U1MTEwZTUzZjQifQ==</vt:lpwstr>
  </property>
</Properties>
</file>