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58C13">
      <w:pPr>
        <w:spacing w:line="574" w:lineRule="exact"/>
        <w:jc w:val="center"/>
        <w:outlineLvl w:val="0"/>
        <w:rPr>
          <w:rFonts w:ascii="方正小标宋_GBK" w:eastAsia="方正小标宋_GBK" w:cs="宋体"/>
          <w:color w:val="auto"/>
          <w:sz w:val="36"/>
          <w:szCs w:val="36"/>
          <w:highlight w:val="none"/>
          <w:lang w:eastAsia="zh-CN"/>
        </w:rPr>
      </w:pPr>
      <w:r>
        <w:rPr>
          <w:rFonts w:hint="eastAsia" w:ascii="方正小标宋_GBK" w:eastAsia="方正小标宋_GBK"/>
          <w:color w:val="auto"/>
          <w:sz w:val="36"/>
          <w:szCs w:val="36"/>
          <w:highlight w:val="none"/>
          <w:lang w:eastAsia="zh-CN"/>
        </w:rPr>
        <w:t>江苏省政府专项债券项目绩效自评价报告</w:t>
      </w:r>
    </w:p>
    <w:p w14:paraId="667A8B87">
      <w:pPr>
        <w:spacing w:line="574" w:lineRule="exact"/>
        <w:jc w:val="center"/>
        <w:outlineLvl w:val="0"/>
        <w:rPr>
          <w:rFonts w:ascii="方正楷体_GBK" w:eastAsia="方正楷体_GBK"/>
          <w:color w:val="auto"/>
          <w:sz w:val="30"/>
          <w:szCs w:val="30"/>
          <w:highlight w:val="none"/>
          <w:lang w:eastAsia="zh-CN"/>
        </w:rPr>
      </w:pPr>
      <w:r>
        <w:rPr>
          <w:rFonts w:hint="eastAsia" w:ascii="方正楷体_GBK" w:eastAsia="方正楷体_GBK"/>
          <w:color w:val="auto"/>
          <w:sz w:val="30"/>
          <w:szCs w:val="30"/>
          <w:highlight w:val="none"/>
          <w:lang w:eastAsia="zh-CN"/>
        </w:rPr>
        <w:t>（苏州高新区太湖科学城功能片区转供水管网改造提升工程项目）</w:t>
      </w:r>
    </w:p>
    <w:p w14:paraId="1A5D069C">
      <w:pPr>
        <w:spacing w:line="574" w:lineRule="exact"/>
        <w:ind w:firstLine="600" w:firstLineChars="200"/>
        <w:jc w:val="both"/>
        <w:rPr>
          <w:rFonts w:ascii="黑体" w:hAnsi="黑体" w:eastAsia="黑体"/>
          <w:color w:val="auto"/>
          <w:sz w:val="30"/>
          <w:szCs w:val="30"/>
          <w:highlight w:val="none"/>
          <w:lang w:eastAsia="zh-CN"/>
        </w:rPr>
      </w:pPr>
    </w:p>
    <w:p w14:paraId="2D48DC5B">
      <w:pPr>
        <w:numPr>
          <w:ilvl w:val="0"/>
          <w:numId w:val="1"/>
        </w:numPr>
        <w:autoSpaceDE w:val="0"/>
        <w:autoSpaceDN w:val="0"/>
        <w:spacing w:line="600" w:lineRule="exact"/>
        <w:jc w:val="both"/>
        <w:outlineLvl w:val="0"/>
        <w:rPr>
          <w:rFonts w:hint="eastAsia" w:ascii="黑体" w:hAnsi="黑体" w:eastAsia="黑体" w:cs="宋体"/>
          <w:b/>
          <w:color w:val="auto"/>
          <w:kern w:val="2"/>
          <w:sz w:val="32"/>
          <w:szCs w:val="32"/>
          <w:highlight w:val="none"/>
          <w:lang w:eastAsia="zh-CN"/>
        </w:rPr>
      </w:pPr>
      <w:r>
        <w:rPr>
          <w:rFonts w:hint="eastAsia" w:ascii="黑体" w:hAnsi="黑体" w:eastAsia="黑体" w:cs="宋体"/>
          <w:b/>
          <w:color w:val="auto"/>
          <w:kern w:val="2"/>
          <w:sz w:val="32"/>
          <w:szCs w:val="32"/>
          <w:highlight w:val="none"/>
          <w:lang w:eastAsia="zh-CN"/>
        </w:rPr>
        <w:t>项目情况</w:t>
      </w:r>
    </w:p>
    <w:p w14:paraId="23A90994">
      <w:pPr>
        <w:numPr>
          <w:ilvl w:val="0"/>
          <w:numId w:val="0"/>
        </w:numPr>
        <w:autoSpaceDE w:val="0"/>
        <w:autoSpaceDN w:val="0"/>
        <w:spacing w:line="600" w:lineRule="exact"/>
        <w:ind w:firstLine="643" w:firstLineChars="200"/>
        <w:outlineLvl w:val="1"/>
        <w:rPr>
          <w:rFonts w:hint="eastAsia" w:ascii="楷体" w:hAnsi="楷体" w:eastAsia="楷体" w:cs="宋体"/>
          <w:b/>
          <w:color w:val="auto"/>
          <w:sz w:val="32"/>
          <w:szCs w:val="32"/>
          <w:highlight w:val="none"/>
          <w:lang w:eastAsia="zh-CN"/>
        </w:rPr>
      </w:pPr>
      <w:r>
        <w:rPr>
          <w:rFonts w:hint="eastAsia" w:ascii="楷体" w:hAnsi="楷体" w:eastAsia="楷体" w:cs="宋体"/>
          <w:b/>
          <w:color w:val="auto"/>
          <w:sz w:val="32"/>
          <w:szCs w:val="32"/>
          <w:highlight w:val="none"/>
          <w:lang w:eastAsia="zh-CN"/>
        </w:rPr>
        <w:t>（一）项目概况</w:t>
      </w:r>
    </w:p>
    <w:p w14:paraId="1FDD0EC3">
      <w:pPr>
        <w:numPr>
          <w:ilvl w:val="0"/>
          <w:numId w:val="0"/>
        </w:numPr>
        <w:autoSpaceDE w:val="0"/>
        <w:autoSpaceDN w:val="0"/>
        <w:spacing w:line="600" w:lineRule="exact"/>
        <w:ind w:firstLine="643" w:firstLineChars="200"/>
        <w:outlineLvl w:val="2"/>
        <w:rPr>
          <w:rFonts w:hint="eastAsia" w:ascii="仿宋" w:hAnsi="仿宋" w:eastAsia="仿宋" w:cs="宋体"/>
          <w:b/>
          <w:bCs/>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1.项目背景</w:t>
      </w:r>
    </w:p>
    <w:p w14:paraId="462A7492">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近年来，江苏省委、省政府大力实施城乡统筹区域供水工程，全面推进城市供水通乡达镇，全省基本实现城乡供水一体化和“同源、同网、同质、同服务”，有效改善城乡居民饮用水安全，有力支撑我省经济社会快速发展。为不断提升苏州市供水品质，逐步实现苏州市高品质供水的目标，苏州市水务局制定并印发了《苏州市高品质供水三年行动计划》（苏市水务〔2021〕158号），组织编制苏州高品质供水配套规范体系。</w:t>
      </w:r>
    </w:p>
    <w:p w14:paraId="49942DFC">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根据苏州高新区统筹区域供水调查评估报告显示，现状二级转供水范围内漏损率较高，主要原因在于二级转供水范围内供水管网建设年代久远，管道老化严重，地块开发、动迁对供水管网破坏较严重，造成漏损严重、水压损失等现象，苏州高新区太湖科学城功能片区转供水管网改造提升工程亟需通过该项目来对现状供水管网进行改造。</w:t>
      </w:r>
    </w:p>
    <w:p w14:paraId="30232392">
      <w:pPr>
        <w:numPr>
          <w:ilvl w:val="0"/>
          <w:numId w:val="0"/>
        </w:numPr>
        <w:autoSpaceDE w:val="0"/>
        <w:autoSpaceDN w:val="0"/>
        <w:spacing w:line="600" w:lineRule="exact"/>
        <w:ind w:firstLine="643" w:firstLineChars="200"/>
        <w:outlineLvl w:val="2"/>
        <w:rPr>
          <w:rFonts w:hint="eastAsia" w:ascii="仿宋" w:hAnsi="仿宋" w:eastAsia="仿宋" w:cs="宋体"/>
          <w:b/>
          <w:bCs/>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2.项目实施范围及实施规模</w:t>
      </w:r>
    </w:p>
    <w:p w14:paraId="2D64FD2E">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根据可研报告及批复，市政道路给水管改造长度7.3km，城镇居民给水管改造长度25.5km，单位给水管改造长度6.3km，通安镇浒光运河以南区域及通安镇西部区域、镇湖街道太湖大道以北区域、太湖大道以南镇湖路以东区域、太湖大道以西西马山以东区域以及西马山以西区域以及东渚西部区域给水管改造长度约85.6km，更换水表4563块。</w:t>
      </w:r>
    </w:p>
    <w:p w14:paraId="47E0100E">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本项目实施范围覆盖苏州高新区太湖科学城功能片区的通安镇、镇湖街道和东渚街道，涉及市政道路、城镇居民、单位等不同区域的供水管网改造。通安镇改造范围包括保浒光运河以南区域及金墅老街，共452户；镇区居民1394户，企事业单位39家；3条市政道路，分别为绕城高速便道（苏锡路-中唐路）、华圩街（苏锡路-华金路）和金墅港路（北太湖大道-通墅路）。镇湖街道改造范围包括太湖大道以北区域及太湖大道以西西马山以东区域，约2001户；镇区居民645户，企事业单位25家；3条市政道路，分别为寺桥南街（东城路-寺桥西街）、万佛寺路（西京村委会-西京村）和渚镇路（西华桥-马桥村）。东渚街道改造范围包括协新路供水管。</w:t>
      </w:r>
    </w:p>
    <w:p w14:paraId="7B608CE5">
      <w:pPr>
        <w:numPr>
          <w:ilvl w:val="0"/>
          <w:numId w:val="0"/>
        </w:numPr>
        <w:autoSpaceDE w:val="0"/>
        <w:autoSpaceDN w:val="0"/>
        <w:spacing w:line="600" w:lineRule="exact"/>
        <w:ind w:firstLine="643" w:firstLineChars="200"/>
        <w:outlineLvl w:val="2"/>
        <w:rPr>
          <w:rFonts w:hint="eastAsia" w:ascii="仿宋" w:hAnsi="仿宋" w:eastAsia="仿宋" w:cs="宋体"/>
          <w:b/>
          <w:bCs/>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3.项目实施方式</w:t>
      </w:r>
    </w:p>
    <w:p w14:paraId="7AE6269F">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宋体"/>
          <w:color w:val="auto"/>
          <w:kern w:val="2"/>
          <w:sz w:val="32"/>
          <w:szCs w:val="32"/>
          <w:highlight w:val="none"/>
          <w:lang w:val="en-US" w:eastAsia="zh-CN"/>
        </w:rPr>
        <w:t>本项目建设单位为苏州科技城管理委员会，施工单位为中亿丰建设集团股份有限公司，项目采取“代建制”，代建单位为苏州高新区自来水有限公司。</w:t>
      </w:r>
    </w:p>
    <w:p w14:paraId="258CA067">
      <w:pPr>
        <w:numPr>
          <w:ilvl w:val="0"/>
          <w:numId w:val="0"/>
        </w:numPr>
        <w:autoSpaceDE w:val="0"/>
        <w:autoSpaceDN w:val="0"/>
        <w:spacing w:line="600" w:lineRule="exact"/>
        <w:ind w:firstLine="643" w:firstLineChars="200"/>
        <w:outlineLvl w:val="2"/>
        <w:rPr>
          <w:rFonts w:hint="eastAsia" w:ascii="仿宋" w:hAnsi="仿宋" w:eastAsia="仿宋" w:cs="宋体"/>
          <w:b/>
          <w:bCs/>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4.项目建设期</w:t>
      </w:r>
    </w:p>
    <w:p w14:paraId="365C68C6">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default"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根据转供水管网改造提升工程施工合同要求，计划开工期为2024年9月20日，预计竣工日期2025年12月30日，项目建设期467天。项目实际开工日期为2024年11月16日，竣工日期为2025年12月20日。</w:t>
      </w:r>
    </w:p>
    <w:p w14:paraId="6C05F488">
      <w:pPr>
        <w:numPr>
          <w:ilvl w:val="0"/>
          <w:numId w:val="0"/>
        </w:numPr>
        <w:autoSpaceDE w:val="0"/>
        <w:autoSpaceDN w:val="0"/>
        <w:spacing w:line="600" w:lineRule="exact"/>
        <w:ind w:firstLine="643" w:firstLineChars="200"/>
        <w:outlineLvl w:val="2"/>
        <w:rPr>
          <w:rFonts w:hint="eastAsia" w:ascii="仿宋" w:hAnsi="仿宋" w:eastAsia="仿宋" w:cs="宋体"/>
          <w:b/>
          <w:bCs/>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5.项目资金安排</w:t>
      </w:r>
    </w:p>
    <w:p w14:paraId="6D398319">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根据《苏州高新区太湖科学城功能片区转供水管网改造提升工程初步设计概算编制报告》,本项目总投资10,999.58万元，其中:建安工程费9,560.51万元、工程建设其它费915.28万元、预备费523.79万元。建设资金由苏州科技城管理委员会出资，其中：政府预算资金安排4,000.00万元、政府专项债券资金安排2,600.00万元、超长期特别国债4,400.00万元。</w:t>
      </w:r>
    </w:p>
    <w:p w14:paraId="0C5B63D8">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bidi="ar-SA"/>
        </w:rPr>
      </w:pPr>
      <w:r>
        <w:rPr>
          <w:rFonts w:hint="eastAsia" w:ascii="仿宋" w:hAnsi="仿宋" w:eastAsia="仿宋" w:cs="宋体"/>
          <w:color w:val="auto"/>
          <w:kern w:val="2"/>
          <w:sz w:val="32"/>
          <w:szCs w:val="32"/>
          <w:highlight w:val="none"/>
          <w:lang w:val="en-US" w:eastAsia="zh-CN" w:bidi="ar-SA"/>
        </w:rPr>
        <w:t>截至2025年底，项目累计投入资金6,300.40万元，其中：</w:t>
      </w:r>
      <w:r>
        <w:rPr>
          <w:rFonts w:hint="eastAsia" w:ascii="仿宋" w:hAnsi="仿宋" w:eastAsia="仿宋" w:cs="宋体"/>
          <w:color w:val="auto"/>
          <w:kern w:val="2"/>
          <w:sz w:val="32"/>
          <w:szCs w:val="32"/>
          <w:highlight w:val="none"/>
          <w:lang w:val="en-US" w:eastAsia="zh-CN"/>
        </w:rPr>
        <w:t>政府预算资金</w:t>
      </w:r>
      <w:r>
        <w:rPr>
          <w:rFonts w:hint="eastAsia" w:ascii="仿宋" w:hAnsi="仿宋" w:eastAsia="仿宋" w:cs="宋体"/>
          <w:color w:val="auto"/>
          <w:kern w:val="2"/>
          <w:sz w:val="32"/>
          <w:szCs w:val="32"/>
          <w:highlight w:val="none"/>
          <w:lang w:val="en-US" w:eastAsia="zh-CN" w:bidi="ar-SA"/>
        </w:rPr>
        <w:t>0.40万元</w:t>
      </w:r>
      <w:r>
        <w:rPr>
          <w:rFonts w:hint="eastAsia" w:ascii="仿宋" w:hAnsi="仿宋" w:eastAsia="仿宋" w:cs="宋体"/>
          <w:color w:val="auto"/>
          <w:kern w:val="2"/>
          <w:sz w:val="32"/>
          <w:szCs w:val="32"/>
          <w:highlight w:val="none"/>
          <w:lang w:val="en-US" w:eastAsia="zh-CN"/>
        </w:rPr>
        <w:t>、</w:t>
      </w:r>
      <w:r>
        <w:rPr>
          <w:rFonts w:hint="eastAsia" w:ascii="仿宋" w:hAnsi="仿宋" w:eastAsia="仿宋" w:cs="宋体"/>
          <w:color w:val="auto"/>
          <w:kern w:val="2"/>
          <w:sz w:val="32"/>
          <w:szCs w:val="32"/>
          <w:highlight w:val="none"/>
          <w:lang w:val="en-US" w:eastAsia="zh-CN" w:bidi="ar-SA"/>
        </w:rPr>
        <w:t>专项债累计已发行1,900.00万元、</w:t>
      </w:r>
      <w:r>
        <w:rPr>
          <w:rFonts w:hint="eastAsia" w:ascii="仿宋" w:hAnsi="仿宋" w:eastAsia="仿宋" w:cs="宋体"/>
          <w:color w:val="auto"/>
          <w:kern w:val="2"/>
          <w:sz w:val="32"/>
          <w:szCs w:val="32"/>
          <w:highlight w:val="none"/>
          <w:lang w:val="en-US" w:eastAsia="zh-CN"/>
        </w:rPr>
        <w:t>国债资金4,400.00万元</w:t>
      </w:r>
      <w:r>
        <w:rPr>
          <w:rFonts w:hint="eastAsia" w:ascii="仿宋" w:hAnsi="仿宋" w:eastAsia="仿宋" w:cs="宋体"/>
          <w:color w:val="auto"/>
          <w:kern w:val="2"/>
          <w:sz w:val="32"/>
          <w:szCs w:val="32"/>
          <w:highlight w:val="none"/>
          <w:lang w:val="en-US" w:eastAsia="zh-CN" w:bidi="ar-SA"/>
        </w:rPr>
        <w:t>。</w:t>
      </w:r>
    </w:p>
    <w:p w14:paraId="7CB898EC">
      <w:pPr>
        <w:pStyle w:val="2"/>
        <w:keepNext w:val="0"/>
        <w:keepLines w:val="0"/>
        <w:pageBreakBefore w:val="0"/>
        <w:widowControl w:val="0"/>
        <w:kinsoku/>
        <w:wordWrap/>
        <w:overflowPunct/>
        <w:topLinePunct w:val="0"/>
        <w:autoSpaceDE/>
        <w:autoSpaceDN/>
        <w:bidi w:val="0"/>
        <w:adjustRightInd/>
        <w:snapToGrid/>
        <w:spacing w:line="24" w:lineRule="auto"/>
        <w:ind w:left="119"/>
        <w:textAlignment w:val="auto"/>
        <w:rPr>
          <w:rFonts w:hint="eastAsia"/>
          <w:highlight w:val="none"/>
          <w:lang w:val="en-US" w:eastAsia="zh-CN"/>
        </w:rPr>
      </w:pPr>
    </w:p>
    <w:tbl>
      <w:tblPr>
        <w:tblStyle w:val="9"/>
        <w:tblW w:w="8926" w:type="dxa"/>
        <w:tblInd w:w="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59"/>
        <w:gridCol w:w="3878"/>
        <w:gridCol w:w="1463"/>
        <w:gridCol w:w="1188"/>
        <w:gridCol w:w="1038"/>
      </w:tblGrid>
      <w:tr w14:paraId="19BCC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9" w:type="dxa"/>
            <w:tcBorders>
              <w:top w:val="single" w:color="000000" w:sz="4" w:space="0"/>
              <w:left w:val="single" w:color="000000" w:sz="4" w:space="0"/>
              <w:bottom w:val="single" w:color="000000" w:sz="4" w:space="0"/>
              <w:right w:val="single" w:color="000000" w:sz="4" w:space="0"/>
            </w:tcBorders>
            <w:shd w:val="clear" w:color="auto" w:fill="E6E0EC"/>
            <w:noWrap/>
            <w:vAlign w:val="center"/>
          </w:tcPr>
          <w:p w14:paraId="1981AF8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发行年份</w:t>
            </w:r>
          </w:p>
        </w:tc>
        <w:tc>
          <w:tcPr>
            <w:tcW w:w="3878" w:type="dxa"/>
            <w:tcBorders>
              <w:top w:val="single" w:color="000000" w:sz="4" w:space="0"/>
              <w:left w:val="single" w:color="000000" w:sz="4" w:space="0"/>
              <w:bottom w:val="single" w:color="000000" w:sz="4" w:space="0"/>
              <w:right w:val="single" w:color="000000" w:sz="4" w:space="0"/>
            </w:tcBorders>
            <w:shd w:val="clear" w:color="auto" w:fill="E6E0EC"/>
            <w:noWrap w:val="0"/>
            <w:vAlign w:val="center"/>
          </w:tcPr>
          <w:p w14:paraId="41C36E8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债券名称</w:t>
            </w:r>
          </w:p>
        </w:tc>
        <w:tc>
          <w:tcPr>
            <w:tcW w:w="1463" w:type="dxa"/>
            <w:tcBorders>
              <w:top w:val="single" w:color="000000" w:sz="4" w:space="0"/>
              <w:left w:val="single" w:color="000000" w:sz="4" w:space="0"/>
              <w:bottom w:val="single" w:color="000000" w:sz="4" w:space="0"/>
              <w:right w:val="single" w:color="000000" w:sz="4" w:space="0"/>
            </w:tcBorders>
            <w:shd w:val="clear" w:color="auto" w:fill="E6E0EC"/>
            <w:noWrap/>
            <w:vAlign w:val="center"/>
          </w:tcPr>
          <w:p w14:paraId="02B380B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发行金额</w:t>
            </w:r>
          </w:p>
        </w:tc>
        <w:tc>
          <w:tcPr>
            <w:tcW w:w="1188" w:type="dxa"/>
            <w:tcBorders>
              <w:top w:val="single" w:color="000000" w:sz="4" w:space="0"/>
              <w:left w:val="single" w:color="000000" w:sz="4" w:space="0"/>
              <w:bottom w:val="single" w:color="000000" w:sz="4" w:space="0"/>
              <w:right w:val="single" w:color="000000" w:sz="4" w:space="0"/>
            </w:tcBorders>
            <w:shd w:val="clear" w:color="auto" w:fill="E6E0EC"/>
            <w:noWrap/>
            <w:vAlign w:val="center"/>
          </w:tcPr>
          <w:p w14:paraId="5C6527C3">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期限</w:t>
            </w:r>
          </w:p>
        </w:tc>
        <w:tc>
          <w:tcPr>
            <w:tcW w:w="1038" w:type="dxa"/>
            <w:tcBorders>
              <w:top w:val="single" w:color="000000" w:sz="4" w:space="0"/>
              <w:left w:val="single" w:color="000000" w:sz="4" w:space="0"/>
              <w:bottom w:val="single" w:color="000000" w:sz="4" w:space="0"/>
              <w:right w:val="single" w:color="000000" w:sz="4" w:space="0"/>
            </w:tcBorders>
            <w:shd w:val="clear" w:color="auto" w:fill="E6E0EC"/>
            <w:noWrap/>
            <w:vAlign w:val="center"/>
          </w:tcPr>
          <w:p w14:paraId="22D7F8D4">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利率</w:t>
            </w:r>
          </w:p>
        </w:tc>
      </w:tr>
      <w:tr w14:paraId="19257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1359" w:type="dxa"/>
            <w:tcBorders>
              <w:top w:val="single" w:color="000000" w:sz="4" w:space="0"/>
              <w:left w:val="single" w:color="000000" w:sz="4" w:space="0"/>
              <w:bottom w:val="single" w:color="000000" w:sz="4" w:space="0"/>
              <w:right w:val="single" w:color="000000" w:sz="4" w:space="0"/>
            </w:tcBorders>
            <w:noWrap/>
            <w:vAlign w:val="center"/>
          </w:tcPr>
          <w:p w14:paraId="7E649C3C">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2024年</w:t>
            </w:r>
          </w:p>
        </w:tc>
        <w:tc>
          <w:tcPr>
            <w:tcW w:w="3878" w:type="dxa"/>
            <w:tcBorders>
              <w:top w:val="single" w:color="000000" w:sz="4" w:space="0"/>
              <w:left w:val="single" w:color="000000" w:sz="4" w:space="0"/>
              <w:bottom w:val="single" w:color="000000" w:sz="4" w:space="0"/>
              <w:right w:val="single" w:color="000000" w:sz="4" w:space="0"/>
            </w:tcBorders>
            <w:noWrap w:val="0"/>
            <w:vAlign w:val="center"/>
          </w:tcPr>
          <w:p w14:paraId="75D1DC21">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宋体"/>
                <w:color w:val="auto"/>
                <w:kern w:val="2"/>
                <w:sz w:val="24"/>
                <w:szCs w:val="24"/>
                <w:highlight w:val="none"/>
                <w:lang w:val="en-US" w:eastAsia="zh-CN"/>
              </w:rPr>
              <w:t>2024年江苏省乡村振兴专项债券（三期）-2024年江苏省政府专项债券（十三期）</w:t>
            </w:r>
          </w:p>
        </w:tc>
        <w:tc>
          <w:tcPr>
            <w:tcW w:w="1463" w:type="dxa"/>
            <w:tcBorders>
              <w:top w:val="single" w:color="000000" w:sz="4" w:space="0"/>
              <w:left w:val="single" w:color="000000" w:sz="4" w:space="0"/>
              <w:bottom w:val="single" w:color="000000" w:sz="4" w:space="0"/>
              <w:right w:val="single" w:color="000000" w:sz="4" w:space="0"/>
            </w:tcBorders>
            <w:noWrap/>
            <w:vAlign w:val="center"/>
          </w:tcPr>
          <w:p w14:paraId="03DF3B4D">
            <w:pPr>
              <w:keepNext w:val="0"/>
              <w:keepLines w:val="0"/>
              <w:widowControl/>
              <w:suppressLineNumbers w:val="0"/>
              <w:jc w:val="center"/>
              <w:textAlignment w:val="center"/>
              <w:rPr>
                <w:rFonts w:hint="default" w:ascii="仿宋" w:hAnsi="仿宋" w:eastAsia="仿宋" w:cs="宋体"/>
                <w:color w:val="auto"/>
                <w:kern w:val="2"/>
                <w:sz w:val="24"/>
                <w:szCs w:val="24"/>
                <w:highlight w:val="none"/>
                <w:lang w:val="en-US" w:eastAsia="zh-CN"/>
              </w:rPr>
            </w:pPr>
            <w:r>
              <w:rPr>
                <w:rFonts w:hint="eastAsia" w:ascii="仿宋" w:hAnsi="仿宋" w:eastAsia="仿宋" w:cs="宋体"/>
                <w:color w:val="auto"/>
                <w:kern w:val="2"/>
                <w:sz w:val="24"/>
                <w:szCs w:val="24"/>
                <w:highlight w:val="none"/>
                <w:lang w:val="en-US" w:eastAsia="zh-CN"/>
              </w:rPr>
              <w:t>600万</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06F0E0ED">
            <w:pPr>
              <w:keepNext w:val="0"/>
              <w:keepLines w:val="0"/>
              <w:widowControl/>
              <w:suppressLineNumbers w:val="0"/>
              <w:jc w:val="center"/>
              <w:textAlignment w:val="center"/>
              <w:rPr>
                <w:rFonts w:hint="default" w:ascii="仿宋" w:hAnsi="仿宋" w:eastAsia="仿宋" w:cs="宋体"/>
                <w:color w:val="auto"/>
                <w:kern w:val="2"/>
                <w:sz w:val="24"/>
                <w:szCs w:val="24"/>
                <w:highlight w:val="none"/>
                <w:lang w:val="en-US" w:eastAsia="zh-CN"/>
              </w:rPr>
            </w:pPr>
            <w:r>
              <w:rPr>
                <w:rFonts w:hint="eastAsia" w:ascii="仿宋" w:hAnsi="仿宋" w:eastAsia="仿宋" w:cs="宋体"/>
                <w:color w:val="auto"/>
                <w:kern w:val="2"/>
                <w:sz w:val="24"/>
                <w:szCs w:val="24"/>
                <w:highlight w:val="none"/>
                <w:lang w:val="en-US" w:eastAsia="zh-CN"/>
              </w:rPr>
              <w:t>30年</w:t>
            </w: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3CFA7400">
            <w:pPr>
              <w:keepNext w:val="0"/>
              <w:keepLines w:val="0"/>
              <w:widowControl/>
              <w:suppressLineNumbers w:val="0"/>
              <w:jc w:val="center"/>
              <w:textAlignment w:val="center"/>
              <w:rPr>
                <w:rFonts w:hint="default" w:ascii="仿宋" w:hAnsi="仿宋" w:eastAsia="仿宋" w:cs="宋体"/>
                <w:color w:val="auto"/>
                <w:kern w:val="2"/>
                <w:sz w:val="24"/>
                <w:szCs w:val="24"/>
                <w:highlight w:val="none"/>
                <w:lang w:val="en-US" w:eastAsia="zh-CN"/>
              </w:rPr>
            </w:pPr>
            <w:r>
              <w:rPr>
                <w:rFonts w:hint="eastAsia" w:ascii="仿宋" w:hAnsi="仿宋" w:eastAsia="仿宋" w:cs="宋体"/>
                <w:color w:val="auto"/>
                <w:kern w:val="2"/>
                <w:sz w:val="24"/>
                <w:szCs w:val="24"/>
                <w:highlight w:val="none"/>
                <w:lang w:val="en-US" w:eastAsia="zh-CN"/>
              </w:rPr>
              <w:t>2.17%</w:t>
            </w:r>
          </w:p>
        </w:tc>
      </w:tr>
      <w:tr w14:paraId="4D965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359" w:type="dxa"/>
            <w:tcBorders>
              <w:top w:val="single" w:color="000000" w:sz="4" w:space="0"/>
              <w:left w:val="single" w:color="000000" w:sz="4" w:space="0"/>
              <w:bottom w:val="single" w:color="000000" w:sz="4" w:space="0"/>
              <w:right w:val="single" w:color="000000" w:sz="4" w:space="0"/>
            </w:tcBorders>
            <w:noWrap/>
            <w:vAlign w:val="center"/>
          </w:tcPr>
          <w:p w14:paraId="0645D9E3">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2025年</w:t>
            </w:r>
          </w:p>
        </w:tc>
        <w:tc>
          <w:tcPr>
            <w:tcW w:w="3878" w:type="dxa"/>
            <w:tcBorders>
              <w:top w:val="single" w:color="000000" w:sz="4" w:space="0"/>
              <w:left w:val="single" w:color="000000" w:sz="4" w:space="0"/>
              <w:bottom w:val="single" w:color="000000" w:sz="4" w:space="0"/>
              <w:right w:val="single" w:color="000000" w:sz="4" w:space="0"/>
            </w:tcBorders>
            <w:noWrap w:val="0"/>
            <w:vAlign w:val="center"/>
          </w:tcPr>
          <w:p w14:paraId="63AEC8F7">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宋体"/>
                <w:color w:val="auto"/>
                <w:kern w:val="2"/>
                <w:sz w:val="24"/>
                <w:szCs w:val="24"/>
                <w:highlight w:val="none"/>
                <w:lang w:val="en-US" w:eastAsia="zh-CN"/>
              </w:rPr>
              <w:t>2025年江苏省乡村振兴专项债券（一期）-2025年江苏省政府专项债券（四期）</w:t>
            </w:r>
          </w:p>
        </w:tc>
        <w:tc>
          <w:tcPr>
            <w:tcW w:w="1463" w:type="dxa"/>
            <w:tcBorders>
              <w:top w:val="single" w:color="000000" w:sz="4" w:space="0"/>
              <w:left w:val="single" w:color="000000" w:sz="4" w:space="0"/>
              <w:bottom w:val="single" w:color="000000" w:sz="4" w:space="0"/>
              <w:right w:val="single" w:color="000000" w:sz="4" w:space="0"/>
            </w:tcBorders>
            <w:noWrap/>
            <w:vAlign w:val="center"/>
          </w:tcPr>
          <w:p w14:paraId="418C835C">
            <w:pPr>
              <w:keepNext w:val="0"/>
              <w:keepLines w:val="0"/>
              <w:widowControl/>
              <w:suppressLineNumbers w:val="0"/>
              <w:jc w:val="center"/>
              <w:textAlignment w:val="center"/>
              <w:rPr>
                <w:rFonts w:hint="default" w:ascii="仿宋" w:hAnsi="仿宋" w:eastAsia="仿宋" w:cs="宋体"/>
                <w:color w:val="auto"/>
                <w:kern w:val="2"/>
                <w:sz w:val="24"/>
                <w:szCs w:val="24"/>
                <w:highlight w:val="none"/>
                <w:lang w:val="en-US" w:eastAsia="zh-CN"/>
              </w:rPr>
            </w:pPr>
            <w:r>
              <w:rPr>
                <w:rFonts w:hint="eastAsia" w:ascii="仿宋" w:hAnsi="仿宋" w:eastAsia="仿宋" w:cs="宋体"/>
                <w:color w:val="auto"/>
                <w:kern w:val="2"/>
                <w:sz w:val="24"/>
                <w:szCs w:val="24"/>
                <w:highlight w:val="none"/>
                <w:lang w:val="en-US" w:eastAsia="zh-CN"/>
              </w:rPr>
              <w:t>1,300万</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69ED778A">
            <w:pPr>
              <w:keepNext w:val="0"/>
              <w:keepLines w:val="0"/>
              <w:widowControl/>
              <w:suppressLineNumbers w:val="0"/>
              <w:jc w:val="center"/>
              <w:textAlignment w:val="center"/>
              <w:rPr>
                <w:rFonts w:hint="default" w:ascii="仿宋" w:hAnsi="仿宋" w:eastAsia="仿宋" w:cs="宋体"/>
                <w:color w:val="auto"/>
                <w:kern w:val="2"/>
                <w:sz w:val="24"/>
                <w:szCs w:val="24"/>
                <w:highlight w:val="none"/>
                <w:lang w:val="en-US" w:eastAsia="zh-CN"/>
              </w:rPr>
            </w:pPr>
            <w:r>
              <w:rPr>
                <w:rFonts w:hint="eastAsia" w:ascii="仿宋" w:hAnsi="仿宋" w:eastAsia="仿宋" w:cs="宋体"/>
                <w:color w:val="auto"/>
                <w:kern w:val="2"/>
                <w:sz w:val="24"/>
                <w:szCs w:val="24"/>
                <w:highlight w:val="none"/>
                <w:lang w:val="en-US" w:eastAsia="zh-CN"/>
              </w:rPr>
              <w:t>15年</w:t>
            </w: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6A7C7E58">
            <w:pPr>
              <w:keepNext w:val="0"/>
              <w:keepLines w:val="0"/>
              <w:widowControl/>
              <w:suppressLineNumbers w:val="0"/>
              <w:jc w:val="center"/>
              <w:textAlignment w:val="center"/>
              <w:rPr>
                <w:rFonts w:hint="default" w:ascii="仿宋" w:hAnsi="仿宋" w:eastAsia="仿宋" w:cs="宋体"/>
                <w:color w:val="auto"/>
                <w:kern w:val="2"/>
                <w:sz w:val="24"/>
                <w:szCs w:val="24"/>
                <w:highlight w:val="none"/>
                <w:lang w:val="en-US" w:eastAsia="zh-CN"/>
              </w:rPr>
            </w:pPr>
            <w:r>
              <w:rPr>
                <w:rFonts w:hint="eastAsia" w:ascii="仿宋" w:hAnsi="仿宋" w:eastAsia="仿宋" w:cs="宋体"/>
                <w:color w:val="auto"/>
                <w:kern w:val="2"/>
                <w:sz w:val="24"/>
                <w:szCs w:val="24"/>
                <w:highlight w:val="none"/>
                <w:lang w:val="en-US" w:eastAsia="zh-CN"/>
              </w:rPr>
              <w:t>2.02%</w:t>
            </w:r>
          </w:p>
        </w:tc>
      </w:tr>
    </w:tbl>
    <w:p w14:paraId="316347AC">
      <w:pPr>
        <w:numPr>
          <w:ilvl w:val="0"/>
          <w:numId w:val="0"/>
        </w:numPr>
        <w:autoSpaceDE w:val="0"/>
        <w:autoSpaceDN w:val="0"/>
        <w:spacing w:line="600" w:lineRule="exact"/>
        <w:ind w:firstLine="643" w:firstLineChars="200"/>
        <w:outlineLvl w:val="1"/>
        <w:rPr>
          <w:rFonts w:hint="eastAsia" w:ascii="楷体" w:hAnsi="楷体" w:eastAsia="楷体" w:cs="宋体"/>
          <w:b/>
          <w:color w:val="auto"/>
          <w:sz w:val="32"/>
          <w:szCs w:val="32"/>
          <w:highlight w:val="none"/>
          <w:lang w:eastAsia="zh-CN"/>
        </w:rPr>
      </w:pPr>
      <w:r>
        <w:rPr>
          <w:rFonts w:hint="eastAsia" w:ascii="楷体" w:hAnsi="楷体" w:eastAsia="楷体" w:cs="宋体"/>
          <w:b/>
          <w:color w:val="auto"/>
          <w:sz w:val="32"/>
          <w:szCs w:val="32"/>
          <w:highlight w:val="none"/>
          <w:lang w:eastAsia="zh-CN"/>
        </w:rPr>
        <w:t>（二）绩效目标</w:t>
      </w:r>
    </w:p>
    <w:p w14:paraId="70575C1C">
      <w:pPr>
        <w:numPr>
          <w:ilvl w:val="0"/>
          <w:numId w:val="0"/>
        </w:numPr>
        <w:autoSpaceDE w:val="0"/>
        <w:autoSpaceDN w:val="0"/>
        <w:spacing w:line="600" w:lineRule="exact"/>
        <w:ind w:firstLine="643" w:firstLineChars="200"/>
        <w:outlineLvl w:val="2"/>
        <w:rPr>
          <w:rFonts w:hint="eastAsia" w:ascii="仿宋" w:hAnsi="仿宋" w:eastAsia="仿宋" w:cs="宋体"/>
          <w:b/>
          <w:bCs/>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1.项目总体目标：</w:t>
      </w:r>
    </w:p>
    <w:p w14:paraId="494C89A6">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通过对太湖科学城功能片区供水管网的改造，减少因管道老化、拆迁施工破坏等，造成的漏损、水压损失现象，保障供水主管网排水畅通和输送能力，同时避免水资源浪费。</w:t>
      </w:r>
    </w:p>
    <w:p w14:paraId="75BB6E6D">
      <w:pPr>
        <w:numPr>
          <w:ilvl w:val="0"/>
          <w:numId w:val="0"/>
        </w:numPr>
        <w:autoSpaceDE w:val="0"/>
        <w:autoSpaceDN w:val="0"/>
        <w:spacing w:line="600" w:lineRule="exact"/>
        <w:ind w:firstLine="643" w:firstLineChars="200"/>
        <w:outlineLvl w:val="2"/>
        <w:rPr>
          <w:rFonts w:hint="eastAsia" w:ascii="仿宋" w:hAnsi="仿宋" w:eastAsia="仿宋" w:cs="宋体"/>
          <w:b/>
          <w:bCs/>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2.阶段性目标</w:t>
      </w:r>
    </w:p>
    <w:p w14:paraId="51FDE7A3">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default"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保障</w:t>
      </w:r>
      <w:r>
        <w:rPr>
          <w:rFonts w:hint="default" w:ascii="仿宋" w:hAnsi="仿宋" w:eastAsia="仿宋" w:cs="宋体"/>
          <w:color w:val="auto"/>
          <w:kern w:val="2"/>
          <w:sz w:val="32"/>
          <w:szCs w:val="32"/>
          <w:highlight w:val="none"/>
          <w:lang w:val="en-US" w:eastAsia="zh-CN"/>
        </w:rPr>
        <w:t>项目顺利</w:t>
      </w:r>
      <w:r>
        <w:rPr>
          <w:rFonts w:hint="eastAsia" w:ascii="仿宋" w:hAnsi="仿宋" w:eastAsia="仿宋" w:cs="宋体"/>
          <w:color w:val="auto"/>
          <w:kern w:val="2"/>
          <w:sz w:val="32"/>
          <w:szCs w:val="32"/>
          <w:highlight w:val="none"/>
          <w:lang w:val="en-US" w:eastAsia="zh-CN"/>
        </w:rPr>
        <w:t>完</w:t>
      </w:r>
      <w:r>
        <w:rPr>
          <w:rFonts w:hint="default" w:ascii="仿宋" w:hAnsi="仿宋" w:eastAsia="仿宋" w:cs="宋体"/>
          <w:color w:val="auto"/>
          <w:kern w:val="2"/>
          <w:sz w:val="32"/>
          <w:szCs w:val="32"/>
          <w:highlight w:val="none"/>
          <w:lang w:val="en-US" w:eastAsia="zh-CN"/>
        </w:rPr>
        <w:t>工，本年度改建居民供水管道</w:t>
      </w:r>
      <w:r>
        <w:rPr>
          <w:rFonts w:hint="eastAsia" w:ascii="仿宋" w:hAnsi="仿宋" w:eastAsia="仿宋" w:cs="宋体"/>
          <w:color w:val="auto"/>
          <w:kern w:val="2"/>
          <w:sz w:val="32"/>
          <w:szCs w:val="32"/>
          <w:highlight w:val="none"/>
          <w:lang w:val="en-US" w:eastAsia="zh-CN"/>
        </w:rPr>
        <w:t>5</w:t>
      </w:r>
      <w:r>
        <w:rPr>
          <w:rFonts w:hint="default" w:ascii="仿宋" w:hAnsi="仿宋" w:eastAsia="仿宋" w:cs="宋体"/>
          <w:color w:val="auto"/>
          <w:kern w:val="2"/>
          <w:sz w:val="32"/>
          <w:szCs w:val="32"/>
          <w:highlight w:val="none"/>
          <w:lang w:val="en-US" w:eastAsia="zh-CN"/>
        </w:rPr>
        <w:t>0公里，更换居民水表</w:t>
      </w:r>
      <w:r>
        <w:rPr>
          <w:rFonts w:hint="eastAsia" w:ascii="仿宋" w:hAnsi="仿宋" w:eastAsia="仿宋" w:cs="宋体"/>
          <w:color w:val="auto"/>
          <w:kern w:val="2"/>
          <w:sz w:val="32"/>
          <w:szCs w:val="32"/>
          <w:highlight w:val="none"/>
          <w:lang w:val="en-US" w:eastAsia="zh-CN"/>
        </w:rPr>
        <w:t>2000</w:t>
      </w:r>
      <w:r>
        <w:rPr>
          <w:rFonts w:hint="default" w:ascii="仿宋" w:hAnsi="仿宋" w:eastAsia="仿宋" w:cs="宋体"/>
          <w:color w:val="auto"/>
          <w:kern w:val="2"/>
          <w:sz w:val="32"/>
          <w:szCs w:val="32"/>
          <w:highlight w:val="none"/>
          <w:lang w:val="en-US" w:eastAsia="zh-CN"/>
        </w:rPr>
        <w:t>块</w:t>
      </w:r>
      <w:r>
        <w:rPr>
          <w:rFonts w:hint="eastAsia" w:ascii="仿宋" w:hAnsi="仿宋" w:eastAsia="仿宋" w:cs="宋体"/>
          <w:color w:val="auto"/>
          <w:kern w:val="2"/>
          <w:sz w:val="32"/>
          <w:szCs w:val="32"/>
          <w:highlight w:val="none"/>
          <w:lang w:val="en-US" w:eastAsia="zh-CN"/>
        </w:rPr>
        <w:t>。</w:t>
      </w:r>
    </w:p>
    <w:p w14:paraId="0E8CBDB0">
      <w:pPr>
        <w:numPr>
          <w:ilvl w:val="0"/>
          <w:numId w:val="1"/>
        </w:numPr>
        <w:autoSpaceDE w:val="0"/>
        <w:autoSpaceDN w:val="0"/>
        <w:spacing w:line="600" w:lineRule="exact"/>
        <w:jc w:val="both"/>
        <w:outlineLvl w:val="0"/>
        <w:rPr>
          <w:rFonts w:hint="eastAsia" w:ascii="黑体" w:hAnsi="黑体" w:eastAsia="黑体" w:cs="宋体"/>
          <w:b/>
          <w:color w:val="auto"/>
          <w:kern w:val="2"/>
          <w:sz w:val="32"/>
          <w:szCs w:val="32"/>
          <w:highlight w:val="none"/>
          <w:lang w:eastAsia="zh-CN"/>
        </w:rPr>
      </w:pPr>
      <w:r>
        <w:rPr>
          <w:rFonts w:hint="eastAsia" w:ascii="黑体" w:hAnsi="黑体" w:eastAsia="黑体" w:cs="宋体"/>
          <w:b/>
          <w:color w:val="auto"/>
          <w:kern w:val="2"/>
          <w:sz w:val="32"/>
          <w:szCs w:val="32"/>
          <w:highlight w:val="none"/>
          <w:lang w:eastAsia="zh-CN"/>
        </w:rPr>
        <w:t>评价情况</w:t>
      </w:r>
    </w:p>
    <w:p w14:paraId="7368562F">
      <w:pPr>
        <w:numPr>
          <w:ilvl w:val="0"/>
          <w:numId w:val="0"/>
        </w:numPr>
        <w:autoSpaceDE w:val="0"/>
        <w:autoSpaceDN w:val="0"/>
        <w:spacing w:line="600" w:lineRule="exact"/>
        <w:ind w:firstLine="643" w:firstLineChars="200"/>
        <w:outlineLvl w:val="1"/>
        <w:rPr>
          <w:rFonts w:hint="eastAsia" w:ascii="楷体" w:hAnsi="楷体" w:eastAsia="楷体" w:cs="宋体"/>
          <w:b/>
          <w:color w:val="auto"/>
          <w:sz w:val="32"/>
          <w:szCs w:val="32"/>
          <w:highlight w:val="none"/>
          <w:lang w:eastAsia="zh-CN"/>
        </w:rPr>
      </w:pPr>
      <w:r>
        <w:rPr>
          <w:rFonts w:hint="eastAsia" w:ascii="楷体" w:hAnsi="楷体" w:eastAsia="楷体" w:cs="宋体"/>
          <w:b/>
          <w:color w:val="auto"/>
          <w:sz w:val="32"/>
          <w:szCs w:val="32"/>
          <w:highlight w:val="none"/>
          <w:lang w:eastAsia="zh-CN"/>
        </w:rPr>
        <w:t>（一）项目特点分析</w:t>
      </w:r>
    </w:p>
    <w:p w14:paraId="35922CD1">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eastAsia="zh-CN"/>
        </w:rPr>
      </w:pPr>
      <w:r>
        <w:rPr>
          <w:rFonts w:hint="eastAsia" w:ascii="仿宋" w:hAnsi="仿宋" w:eastAsia="仿宋" w:cs="宋体"/>
          <w:color w:val="auto"/>
          <w:kern w:val="2"/>
          <w:sz w:val="32"/>
          <w:szCs w:val="32"/>
          <w:highlight w:val="none"/>
          <w:lang w:eastAsia="zh-CN"/>
        </w:rPr>
        <w:t>该专项债券资金用于转供水管网改造提升工程项目的实施，通过项目的实施能够有效的降低供水管网漏损率，改善供水水质和水压，保障居民用水安全和稳定。</w:t>
      </w:r>
    </w:p>
    <w:p w14:paraId="33EA2CFA">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eastAsia="zh-CN"/>
        </w:rPr>
      </w:pPr>
      <w:r>
        <w:rPr>
          <w:rFonts w:hint="eastAsia" w:ascii="仿宋" w:hAnsi="仿宋" w:eastAsia="仿宋" w:cs="宋体"/>
          <w:color w:val="auto"/>
          <w:kern w:val="2"/>
          <w:sz w:val="32"/>
          <w:szCs w:val="32"/>
          <w:highlight w:val="none"/>
          <w:lang w:eastAsia="zh-CN"/>
        </w:rPr>
        <w:t>本次自评价年度为202</w:t>
      </w:r>
      <w:r>
        <w:rPr>
          <w:rFonts w:hint="eastAsia" w:ascii="仿宋" w:hAnsi="仿宋" w:eastAsia="仿宋" w:cs="宋体"/>
          <w:color w:val="auto"/>
          <w:kern w:val="2"/>
          <w:sz w:val="32"/>
          <w:szCs w:val="32"/>
          <w:highlight w:val="none"/>
          <w:lang w:val="en-US" w:eastAsia="zh-CN"/>
        </w:rPr>
        <w:t>5</w:t>
      </w:r>
      <w:r>
        <w:rPr>
          <w:rFonts w:hint="eastAsia" w:ascii="仿宋" w:hAnsi="仿宋" w:eastAsia="仿宋" w:cs="宋体"/>
          <w:color w:val="auto"/>
          <w:kern w:val="2"/>
          <w:sz w:val="32"/>
          <w:szCs w:val="32"/>
          <w:highlight w:val="none"/>
          <w:lang w:eastAsia="zh-CN"/>
        </w:rPr>
        <w:t>年，项目</w:t>
      </w:r>
      <w:r>
        <w:rPr>
          <w:rFonts w:hint="eastAsia" w:ascii="仿宋" w:hAnsi="仿宋" w:eastAsia="仿宋" w:cs="宋体"/>
          <w:color w:val="auto"/>
          <w:kern w:val="2"/>
          <w:sz w:val="32"/>
          <w:szCs w:val="32"/>
          <w:highlight w:val="none"/>
          <w:lang w:val="en-US" w:eastAsia="zh-CN"/>
        </w:rPr>
        <w:t>已完工</w:t>
      </w:r>
      <w:r>
        <w:rPr>
          <w:rFonts w:hint="eastAsia" w:ascii="仿宋" w:hAnsi="仿宋" w:eastAsia="仿宋" w:cs="宋体"/>
          <w:color w:val="auto"/>
          <w:kern w:val="2"/>
          <w:sz w:val="32"/>
          <w:szCs w:val="32"/>
          <w:highlight w:val="none"/>
          <w:lang w:eastAsia="zh-CN"/>
        </w:rPr>
        <w:t>。故本年绩效评价重点放在“</w:t>
      </w:r>
      <w:r>
        <w:rPr>
          <w:rFonts w:hint="eastAsia" w:ascii="仿宋" w:hAnsi="仿宋" w:eastAsia="仿宋" w:cs="宋体"/>
          <w:color w:val="auto"/>
          <w:kern w:val="2"/>
          <w:sz w:val="32"/>
          <w:szCs w:val="32"/>
          <w:highlight w:val="none"/>
          <w:lang w:val="en-US" w:eastAsia="zh-CN"/>
        </w:rPr>
        <w:t>产出</w:t>
      </w:r>
      <w:r>
        <w:rPr>
          <w:rFonts w:hint="eastAsia" w:ascii="仿宋" w:hAnsi="仿宋" w:eastAsia="仿宋" w:cs="宋体"/>
          <w:color w:val="auto"/>
          <w:kern w:val="2"/>
          <w:sz w:val="32"/>
          <w:szCs w:val="32"/>
          <w:highlight w:val="none"/>
          <w:lang w:eastAsia="zh-CN"/>
        </w:rPr>
        <w:t>”和“</w:t>
      </w:r>
      <w:r>
        <w:rPr>
          <w:rFonts w:hint="eastAsia" w:ascii="仿宋" w:hAnsi="仿宋" w:eastAsia="仿宋" w:cs="宋体"/>
          <w:color w:val="auto"/>
          <w:kern w:val="2"/>
          <w:sz w:val="32"/>
          <w:szCs w:val="32"/>
          <w:highlight w:val="none"/>
          <w:lang w:val="en-US" w:eastAsia="zh-CN"/>
        </w:rPr>
        <w:t>效益</w:t>
      </w:r>
      <w:r>
        <w:rPr>
          <w:rFonts w:hint="eastAsia" w:ascii="仿宋" w:hAnsi="仿宋" w:eastAsia="仿宋" w:cs="宋体"/>
          <w:color w:val="auto"/>
          <w:kern w:val="2"/>
          <w:sz w:val="32"/>
          <w:szCs w:val="32"/>
          <w:highlight w:val="none"/>
          <w:lang w:eastAsia="zh-CN"/>
        </w:rPr>
        <w:t>”指标评价上，主要从资金的管理、制度的建立、项目施工进度、项目竣工及时性、</w:t>
      </w:r>
      <w:r>
        <w:rPr>
          <w:rFonts w:hint="eastAsia" w:ascii="仿宋" w:hAnsi="仿宋" w:eastAsia="仿宋" w:cs="宋体"/>
          <w:color w:val="auto"/>
          <w:kern w:val="2"/>
          <w:sz w:val="32"/>
          <w:szCs w:val="32"/>
          <w:highlight w:val="none"/>
          <w:lang w:val="en-US" w:eastAsia="zh-CN"/>
        </w:rPr>
        <w:t>阶段性成果</w:t>
      </w:r>
      <w:r>
        <w:rPr>
          <w:rFonts w:hint="eastAsia" w:ascii="仿宋" w:hAnsi="仿宋" w:eastAsia="仿宋" w:cs="宋体"/>
          <w:color w:val="auto"/>
          <w:kern w:val="2"/>
          <w:sz w:val="32"/>
          <w:szCs w:val="32"/>
          <w:highlight w:val="none"/>
          <w:lang w:eastAsia="zh-CN"/>
        </w:rPr>
        <w:t>、项目成本控制等方面评价。</w:t>
      </w:r>
    </w:p>
    <w:p w14:paraId="35E4E421">
      <w:pPr>
        <w:numPr>
          <w:ilvl w:val="0"/>
          <w:numId w:val="0"/>
        </w:numPr>
        <w:autoSpaceDE w:val="0"/>
        <w:autoSpaceDN w:val="0"/>
        <w:spacing w:line="600" w:lineRule="exact"/>
        <w:ind w:firstLine="643" w:firstLineChars="200"/>
        <w:outlineLvl w:val="1"/>
        <w:rPr>
          <w:rFonts w:hint="eastAsia" w:ascii="楷体" w:hAnsi="楷体" w:eastAsia="楷体" w:cs="宋体"/>
          <w:b/>
          <w:color w:val="auto"/>
          <w:sz w:val="32"/>
          <w:szCs w:val="32"/>
          <w:highlight w:val="none"/>
          <w:lang w:eastAsia="zh-CN"/>
        </w:rPr>
      </w:pPr>
      <w:r>
        <w:rPr>
          <w:rFonts w:hint="eastAsia" w:ascii="楷体" w:hAnsi="楷体" w:eastAsia="楷体" w:cs="宋体"/>
          <w:b/>
          <w:color w:val="auto"/>
          <w:sz w:val="32"/>
          <w:szCs w:val="32"/>
          <w:highlight w:val="none"/>
          <w:lang w:eastAsia="zh-CN"/>
        </w:rPr>
        <w:t>（二）评价思路方法</w:t>
      </w:r>
    </w:p>
    <w:p w14:paraId="45837157">
      <w:pPr>
        <w:spacing w:line="574" w:lineRule="exact"/>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1）评价重点</w:t>
      </w:r>
    </w:p>
    <w:p w14:paraId="05778EA6">
      <w:pPr>
        <w:keepNext w:val="0"/>
        <w:keepLines w:val="0"/>
        <w:pageBreakBefore w:val="0"/>
        <w:widowControl w:val="0"/>
        <w:kinsoku/>
        <w:wordWrap/>
        <w:overflowPunct/>
        <w:topLinePunct w:val="0"/>
        <w:autoSpaceDE/>
        <w:autoSpaceDN/>
        <w:bidi w:val="0"/>
        <w:adjustRightInd/>
        <w:snapToGrid/>
        <w:spacing w:line="200" w:lineRule="exact"/>
        <w:ind w:firstLine="640" w:firstLineChars="200"/>
        <w:jc w:val="both"/>
        <w:textAlignment w:val="auto"/>
        <w:rPr>
          <w:rFonts w:hint="eastAsia" w:ascii="仿宋" w:hAnsi="仿宋" w:eastAsia="仿宋" w:cs="仿宋"/>
          <w:color w:val="auto"/>
          <w:sz w:val="32"/>
          <w:szCs w:val="32"/>
          <w:highlight w:val="none"/>
          <w:lang w:val="en-US" w:eastAsia="zh-CN"/>
        </w:rPr>
      </w:pPr>
    </w:p>
    <w:p w14:paraId="20AE4286">
      <w:pPr>
        <w:pStyle w:val="19"/>
        <w:keepNext w:val="0"/>
        <w:keepLines w:val="0"/>
        <w:pageBreakBefore w:val="0"/>
        <w:kinsoku/>
        <w:wordWrap/>
        <w:overflowPunct/>
        <w:topLinePunct w:val="0"/>
        <w:bidi w:val="0"/>
        <w:adjustRightInd/>
        <w:snapToGrid/>
        <w:spacing w:line="360" w:lineRule="auto"/>
        <w:ind w:left="0" w:leftChars="0" w:firstLine="624" w:firstLineChars="200"/>
        <w:textAlignment w:val="auto"/>
        <w:rPr>
          <w:rFonts w:hint="eastAsia" w:ascii="仿宋" w:hAnsi="仿宋" w:eastAsia="仿宋" w:cs="仿宋"/>
          <w:color w:val="auto"/>
          <w:spacing w:val="-4"/>
          <w:sz w:val="32"/>
          <w:szCs w:val="32"/>
          <w:highlight w:val="none"/>
          <w:lang w:val="en-US" w:eastAsia="zh-CN" w:bidi="ar-SA"/>
        </w:rPr>
      </w:pPr>
      <w:r>
        <w:rPr>
          <w:rFonts w:hint="eastAsia" w:ascii="仿宋" w:hAnsi="仿宋" w:eastAsia="仿宋" w:cs="仿宋"/>
          <w:color w:val="auto"/>
          <w:spacing w:val="-4"/>
          <w:sz w:val="32"/>
          <w:szCs w:val="32"/>
          <w:highlight w:val="none"/>
          <w:lang w:val="en-US" w:eastAsia="zh-CN" w:bidi="ar-SA"/>
        </w:rPr>
        <w:t>资金管理方面：项目资金规模大，评价时重点关注资金筹集是否及时足额到位，资金使用是否合规、合理，有无浪费和挪用现象。尤其对于专项债资金，需审查其使用是否符合规定用途，资金分配是否科学，能否保障项目建设和运营需求。</w:t>
      </w:r>
    </w:p>
    <w:p w14:paraId="4B85AB9C">
      <w:pPr>
        <w:keepNext w:val="0"/>
        <w:keepLines w:val="0"/>
        <w:pageBreakBefore w:val="0"/>
        <w:kinsoku/>
        <w:wordWrap/>
        <w:overflowPunct/>
        <w:topLinePunct w:val="0"/>
        <w:bidi w:val="0"/>
        <w:adjustRightInd/>
        <w:snapToGrid/>
        <w:spacing w:line="360" w:lineRule="auto"/>
        <w:ind w:firstLine="624" w:firstLineChars="200"/>
        <w:textAlignment w:val="auto"/>
        <w:rPr>
          <w:rFonts w:hint="eastAsia" w:ascii="仿宋" w:hAnsi="仿宋" w:eastAsia="仿宋" w:cs="仿宋"/>
          <w:color w:val="auto"/>
          <w:spacing w:val="-4"/>
          <w:sz w:val="32"/>
          <w:szCs w:val="32"/>
          <w:highlight w:val="none"/>
          <w:lang w:val="en-US" w:eastAsia="zh-CN" w:bidi="ar-SA"/>
        </w:rPr>
      </w:pPr>
      <w:r>
        <w:rPr>
          <w:rFonts w:hint="eastAsia" w:ascii="仿宋" w:hAnsi="仿宋" w:eastAsia="仿宋" w:cs="仿宋"/>
          <w:color w:val="auto"/>
          <w:spacing w:val="-4"/>
          <w:sz w:val="32"/>
          <w:szCs w:val="32"/>
          <w:highlight w:val="none"/>
          <w:lang w:val="en-US" w:eastAsia="zh-CN" w:bidi="ar-SA"/>
        </w:rPr>
        <w:t>项目进度方面：鉴于项目建设周期长，需对项目各阶段进度进行评估。对比计划进度和实际进度，分析进度偏差原因，如是否因天气、地质条件或管理问题导致延误，是否有合理应对措施保证项目按时完工。</w:t>
      </w:r>
    </w:p>
    <w:p w14:paraId="3206550C">
      <w:pPr>
        <w:keepNext w:val="0"/>
        <w:keepLines w:val="0"/>
        <w:pageBreakBefore w:val="0"/>
        <w:widowControl w:val="0"/>
        <w:kinsoku/>
        <w:wordWrap/>
        <w:overflowPunct/>
        <w:topLinePunct w:val="0"/>
        <w:autoSpaceDE/>
        <w:autoSpaceDN/>
        <w:bidi w:val="0"/>
        <w:adjustRightInd/>
        <w:snapToGrid/>
        <w:spacing w:line="360" w:lineRule="auto"/>
        <w:ind w:firstLine="624" w:firstLineChars="200"/>
        <w:textAlignment w:val="auto"/>
        <w:rPr>
          <w:rFonts w:hint="eastAsia" w:ascii="仿宋" w:hAnsi="仿宋" w:eastAsia="仿宋" w:cs="仿宋"/>
          <w:color w:val="auto"/>
          <w:spacing w:val="-4"/>
          <w:sz w:val="32"/>
          <w:szCs w:val="32"/>
          <w:highlight w:val="none"/>
          <w:lang w:val="en-US" w:eastAsia="zh-CN" w:bidi="ar-SA"/>
        </w:rPr>
      </w:pPr>
      <w:r>
        <w:rPr>
          <w:rFonts w:hint="eastAsia" w:ascii="仿宋" w:hAnsi="仿宋" w:eastAsia="仿宋" w:cs="仿宋"/>
          <w:color w:val="auto"/>
          <w:spacing w:val="-4"/>
          <w:sz w:val="32"/>
          <w:szCs w:val="32"/>
          <w:highlight w:val="none"/>
          <w:lang w:val="en-US" w:eastAsia="zh-CN" w:bidi="ar-SA"/>
        </w:rPr>
        <w:t>项目管理方面：项目变更是否严格遵循审批流程，所有变更事项是否有书面申请并经相关主管部门依据法规、政策及项目立项规定审批通过；变更内容是否基于项目实际需求，不偏离整体目标和功能定位，且符合行业技术标准规范；合同签订、履行和变更是否合规，合同条款是否明确关键内容，履行中有无违约，变更手续是否完备；项目变更及过程管理相关档案资料是否完整、准确、规范地记录了变更申请、审批、实施以及合同相关信息，并按规定分类、归档和保管，以此确保项目变更等过程管理合法合规，保障项目顺利推进。</w:t>
      </w:r>
    </w:p>
    <w:p w14:paraId="34A12DD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24" w:firstLineChars="200"/>
        <w:jc w:val="both"/>
        <w:textAlignment w:val="auto"/>
        <w:rPr>
          <w:rFonts w:hint="eastAsia" w:ascii="仿宋" w:hAnsi="仿宋" w:eastAsia="仿宋" w:cs="仿宋"/>
          <w:color w:val="auto"/>
          <w:spacing w:val="-4"/>
          <w:sz w:val="32"/>
          <w:szCs w:val="32"/>
          <w:highlight w:val="none"/>
          <w:lang w:val="en-US" w:eastAsia="zh-CN" w:bidi="ar-SA"/>
        </w:rPr>
      </w:pPr>
      <w:r>
        <w:rPr>
          <w:rFonts w:hint="eastAsia" w:ascii="仿宋" w:hAnsi="仿宋" w:eastAsia="仿宋" w:cs="仿宋"/>
          <w:color w:val="auto"/>
          <w:spacing w:val="-4"/>
          <w:sz w:val="32"/>
          <w:szCs w:val="32"/>
          <w:highlight w:val="none"/>
          <w:lang w:val="en-US" w:eastAsia="zh-CN" w:bidi="ar-SA"/>
        </w:rPr>
        <w:t>评价原则</w:t>
      </w:r>
    </w:p>
    <w:p w14:paraId="244EB6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24" w:firstLineChars="200"/>
        <w:jc w:val="both"/>
        <w:textAlignment w:val="auto"/>
        <w:rPr>
          <w:rFonts w:hint="eastAsia" w:ascii="仿宋" w:hAnsi="仿宋" w:eastAsia="仿宋" w:cs="仿宋"/>
          <w:color w:val="auto"/>
          <w:spacing w:val="-4"/>
          <w:sz w:val="32"/>
          <w:szCs w:val="32"/>
          <w:highlight w:val="none"/>
          <w:lang w:val="en-US" w:eastAsia="zh-CN" w:bidi="ar-SA"/>
        </w:rPr>
      </w:pPr>
      <w:r>
        <w:rPr>
          <w:rFonts w:hint="eastAsia" w:ascii="仿宋" w:hAnsi="仿宋" w:eastAsia="仿宋" w:cs="仿宋"/>
          <w:color w:val="auto"/>
          <w:spacing w:val="-4"/>
          <w:sz w:val="32"/>
          <w:szCs w:val="32"/>
          <w:highlight w:val="none"/>
          <w:lang w:val="en-US" w:eastAsia="zh-CN" w:bidi="ar-SA"/>
        </w:rPr>
        <w:t>根据《关于印发&lt;地方政府专项债券项目资金绩效管理办法&gt;的通知》（财预</w:t>
      </w:r>
      <w:r>
        <w:rPr>
          <w:rFonts w:hint="eastAsia" w:ascii="仿宋" w:hAnsi="仿宋" w:eastAsia="仿宋" w:cs="仿宋"/>
          <w:b w:val="0"/>
          <w:color w:val="auto"/>
          <w:kern w:val="2"/>
          <w:sz w:val="32"/>
          <w:szCs w:val="32"/>
          <w:highlight w:val="none"/>
          <w:lang w:val="en-US" w:eastAsia="zh-CN" w:bidi="ar-SA"/>
        </w:rPr>
        <w:t>〔2021〕</w:t>
      </w:r>
      <w:r>
        <w:rPr>
          <w:rFonts w:hint="eastAsia" w:ascii="仿宋" w:hAnsi="仿宋" w:eastAsia="仿宋" w:cs="仿宋"/>
          <w:color w:val="auto"/>
          <w:spacing w:val="-4"/>
          <w:sz w:val="32"/>
          <w:szCs w:val="32"/>
          <w:highlight w:val="none"/>
          <w:lang w:val="en-US" w:eastAsia="zh-CN" w:bidi="ar-SA"/>
        </w:rPr>
        <w:t>61号）要求，专项债绩效管理遵循以下基本原则：</w:t>
      </w:r>
    </w:p>
    <w:p w14:paraId="498DB3A9">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①科学规范。专项债券项目资金绩效实行全生命周期管理。坚持“举债必问效、无效必问责”，遵循项目支出绩效管理的基本要求，注重融资收益平衡与偿债风险。建立规范的工作流程和指标体系，推动绩效管理工作有序开展。</w:t>
      </w:r>
    </w:p>
    <w:p w14:paraId="383924AC">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②协同配合。各级财政部门牵头组织专项债券项目资金绩效管理工作，督促指导项目主管部门和项目单位具体实施各项管理工作。上级财政部门加强工作指导和检查。</w:t>
      </w:r>
    </w:p>
    <w:p w14:paraId="428C29C9">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③公开透明。绩效信息是专项债券项目信息的重要组成部分，应当依法依规公开，自觉接受社会监督，通过公开推动提高专项债券资金使用绩效。</w:t>
      </w:r>
    </w:p>
    <w:p w14:paraId="6EAF79D0">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④强化运用。突出绩效管理结果的激励约束作用，将专项债券项目资金绩效管理结果作为专项债券额度分配的重要测算因素,并与有关管理措施和政策试点等挂钩。</w:t>
      </w:r>
    </w:p>
    <w:p w14:paraId="4753031A">
      <w:pPr>
        <w:widowControl w:val="0"/>
        <w:numPr>
          <w:ilvl w:val="0"/>
          <w:numId w:val="2"/>
        </w:numPr>
        <w:spacing w:line="574" w:lineRule="exact"/>
        <w:ind w:left="0" w:leftChars="0" w:firstLine="624" w:firstLineChars="200"/>
        <w:jc w:val="both"/>
        <w:rPr>
          <w:rFonts w:hint="eastAsia" w:ascii="仿宋" w:hAnsi="仿宋" w:eastAsia="仿宋" w:cs="仿宋"/>
          <w:color w:val="auto"/>
          <w:spacing w:val="-4"/>
          <w:sz w:val="32"/>
          <w:szCs w:val="32"/>
          <w:highlight w:val="none"/>
          <w:lang w:val="en-US" w:eastAsia="zh-CN" w:bidi="ar-SA"/>
        </w:rPr>
      </w:pPr>
      <w:r>
        <w:rPr>
          <w:rFonts w:hint="eastAsia" w:ascii="仿宋" w:hAnsi="仿宋" w:eastAsia="仿宋" w:cs="仿宋"/>
          <w:color w:val="auto"/>
          <w:spacing w:val="-4"/>
          <w:sz w:val="32"/>
          <w:szCs w:val="32"/>
          <w:highlight w:val="none"/>
          <w:lang w:val="en-US" w:eastAsia="zh-CN" w:bidi="ar-SA"/>
        </w:rPr>
        <w:t>评价依据</w:t>
      </w:r>
    </w:p>
    <w:p w14:paraId="69AA2AC1">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①《财政部关于印发〈地方政府专项债券项目资金绩效管理办法〉的通知》(财预〔2021〕61号)</w:t>
      </w:r>
    </w:p>
    <w:p w14:paraId="6D831118">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②《转发财政部关于印发&lt;地方政府专项债券项目资金绩效管理办法&gt;的通知》(苏财办〔2021〕46号)</w:t>
      </w:r>
    </w:p>
    <w:p w14:paraId="78B09F4E">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③《中共苏州市委 苏州市人民政府关于全面落实绩效管理的实施意见》(苏委发〔2019〕36号)</w:t>
      </w:r>
    </w:p>
    <w:p w14:paraId="1A0DFCAB">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④《苏州高新区政府专项债券项目资金绩效管理暂行办法》(苏高新财〔2022〕72号)</w:t>
      </w:r>
    </w:p>
    <w:p w14:paraId="141A9809">
      <w:pPr>
        <w:widowControl w:val="0"/>
        <w:numPr>
          <w:ilvl w:val="0"/>
          <w:numId w:val="2"/>
        </w:numPr>
        <w:spacing w:line="574" w:lineRule="exact"/>
        <w:ind w:left="0" w:leftChars="0" w:firstLine="624" w:firstLineChars="200"/>
        <w:jc w:val="both"/>
        <w:rPr>
          <w:rFonts w:hint="eastAsia" w:ascii="仿宋" w:hAnsi="仿宋" w:eastAsia="仿宋" w:cs="仿宋"/>
          <w:color w:val="auto"/>
          <w:spacing w:val="-4"/>
          <w:sz w:val="32"/>
          <w:szCs w:val="32"/>
          <w:highlight w:val="none"/>
          <w:lang w:val="en-US" w:eastAsia="zh-CN" w:bidi="ar-SA"/>
        </w:rPr>
      </w:pPr>
      <w:r>
        <w:rPr>
          <w:rFonts w:hint="eastAsia" w:ascii="仿宋" w:hAnsi="仿宋" w:eastAsia="仿宋" w:cs="仿宋"/>
          <w:color w:val="auto"/>
          <w:spacing w:val="-4"/>
          <w:sz w:val="32"/>
          <w:szCs w:val="32"/>
          <w:highlight w:val="none"/>
          <w:lang w:val="en-US" w:eastAsia="zh-CN" w:bidi="ar-SA"/>
        </w:rPr>
        <w:t>评价方法</w:t>
      </w:r>
    </w:p>
    <w:p w14:paraId="24B25218">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本项目运用比较法、因素分析法和公众评判法进行绩效评价，通过多因素分析来支撑评价的逻辑紧密性与客观性。以定量优先、定量与定性相结合的方式，遵循科学规范、统一管理、绩效相关的基本原则。</w:t>
      </w:r>
    </w:p>
    <w:p w14:paraId="3A15570E">
      <w:pPr>
        <w:numPr>
          <w:ilvl w:val="0"/>
          <w:numId w:val="0"/>
        </w:numPr>
        <w:autoSpaceDE w:val="0"/>
        <w:autoSpaceDN w:val="0"/>
        <w:spacing w:line="600" w:lineRule="exact"/>
        <w:ind w:firstLine="643" w:firstLineChars="200"/>
        <w:outlineLvl w:val="1"/>
        <w:rPr>
          <w:rFonts w:hint="eastAsia" w:ascii="楷体" w:hAnsi="楷体" w:eastAsia="楷体" w:cs="宋体"/>
          <w:b/>
          <w:color w:val="auto"/>
          <w:sz w:val="32"/>
          <w:szCs w:val="32"/>
          <w:highlight w:val="none"/>
          <w:lang w:eastAsia="zh-CN"/>
        </w:rPr>
      </w:pPr>
      <w:r>
        <w:rPr>
          <w:rFonts w:hint="eastAsia" w:ascii="楷体" w:hAnsi="楷体" w:eastAsia="楷体" w:cs="宋体"/>
          <w:b/>
          <w:color w:val="auto"/>
          <w:sz w:val="32"/>
          <w:szCs w:val="32"/>
          <w:highlight w:val="none"/>
          <w:lang w:eastAsia="zh-CN"/>
        </w:rPr>
        <w:t>（三）评价工作情况</w:t>
      </w:r>
    </w:p>
    <w:p w14:paraId="20B61133">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在评价的过程中了解到项目在招投标阶段明确了项目工程管理的相关制度，实施过程中紧紧围绕制度及目标进行跟踪和管理，对于重大调整的内容及时上报或上会研究决定，完成相应的审批手续。项目各参建单位配备专门的人员，对工程招投标；项目设计、施工、监理等前期资料以及项目实施过程的资料及时进行了分类归档。</w:t>
      </w:r>
    </w:p>
    <w:p w14:paraId="36ED8568">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项目实施过程中，按照各阶段的实际情况，配备充足的专业人员以推进项目的正常开展。</w:t>
      </w:r>
    </w:p>
    <w:p w14:paraId="272974F3">
      <w:pPr>
        <w:numPr>
          <w:ilvl w:val="0"/>
          <w:numId w:val="0"/>
        </w:numPr>
        <w:autoSpaceDE w:val="0"/>
        <w:autoSpaceDN w:val="0"/>
        <w:spacing w:line="600" w:lineRule="exact"/>
        <w:ind w:firstLine="643" w:firstLineChars="200"/>
        <w:outlineLvl w:val="1"/>
        <w:rPr>
          <w:rFonts w:hint="eastAsia" w:ascii="楷体" w:hAnsi="楷体" w:eastAsia="楷体" w:cs="宋体"/>
          <w:b/>
          <w:color w:val="auto"/>
          <w:sz w:val="32"/>
          <w:szCs w:val="32"/>
          <w:highlight w:val="none"/>
          <w:lang w:eastAsia="zh-CN"/>
        </w:rPr>
      </w:pPr>
      <w:r>
        <w:rPr>
          <w:rFonts w:hint="eastAsia" w:ascii="楷体" w:hAnsi="楷体" w:eastAsia="楷体" w:cs="宋体"/>
          <w:b/>
          <w:color w:val="auto"/>
          <w:sz w:val="32"/>
          <w:szCs w:val="32"/>
          <w:highlight w:val="none"/>
          <w:lang w:eastAsia="zh-CN"/>
        </w:rPr>
        <w:t>（四）绩效评价结论</w:t>
      </w:r>
    </w:p>
    <w:p w14:paraId="4909778C">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本次绩效评价按绩效评价指标进行评分，从过程、产出、效益及满意度四个方面进行考察。四个维度的指标得分为过程目标得分27.75分、产出目标得分为24.00分、效益目标得分为30.00分、满意度得分为10.00分。本次绩效评价满分为100.00分，本项目实际评分为91.75分，评价等级为“优秀”。</w:t>
      </w:r>
      <w:bookmarkStart w:id="0" w:name="_GoBack"/>
      <w:bookmarkEnd w:id="0"/>
    </w:p>
    <w:p w14:paraId="10AE375F">
      <w:pPr>
        <w:numPr>
          <w:ilvl w:val="0"/>
          <w:numId w:val="1"/>
        </w:numPr>
        <w:autoSpaceDE w:val="0"/>
        <w:autoSpaceDN w:val="0"/>
        <w:spacing w:line="600" w:lineRule="exact"/>
        <w:jc w:val="both"/>
        <w:outlineLvl w:val="0"/>
        <w:rPr>
          <w:rFonts w:hint="eastAsia" w:ascii="黑体" w:hAnsi="黑体" w:eastAsia="黑体" w:cs="宋体"/>
          <w:b/>
          <w:color w:val="auto"/>
          <w:kern w:val="2"/>
          <w:sz w:val="32"/>
          <w:szCs w:val="32"/>
          <w:highlight w:val="none"/>
          <w:lang w:eastAsia="zh-CN"/>
        </w:rPr>
      </w:pPr>
      <w:r>
        <w:rPr>
          <w:rFonts w:hint="eastAsia" w:ascii="黑体" w:hAnsi="黑体" w:eastAsia="黑体" w:cs="宋体"/>
          <w:b/>
          <w:color w:val="auto"/>
          <w:kern w:val="2"/>
          <w:sz w:val="32"/>
          <w:szCs w:val="32"/>
          <w:highlight w:val="none"/>
          <w:lang w:eastAsia="zh-CN"/>
        </w:rPr>
        <w:t>项目绩效</w:t>
      </w:r>
    </w:p>
    <w:p w14:paraId="056F9DB4">
      <w:pPr>
        <w:numPr>
          <w:ilvl w:val="0"/>
          <w:numId w:val="0"/>
        </w:numPr>
        <w:autoSpaceDE w:val="0"/>
        <w:autoSpaceDN w:val="0"/>
        <w:spacing w:line="600" w:lineRule="exact"/>
        <w:ind w:firstLine="643" w:firstLineChars="200"/>
        <w:outlineLvl w:val="1"/>
        <w:rPr>
          <w:rFonts w:hint="default" w:ascii="楷体" w:hAnsi="楷体" w:eastAsia="楷体" w:cs="宋体"/>
          <w:b/>
          <w:color w:val="auto"/>
          <w:sz w:val="32"/>
          <w:szCs w:val="32"/>
          <w:highlight w:val="none"/>
          <w:lang w:val="en-US" w:eastAsia="zh-CN"/>
        </w:rPr>
      </w:pPr>
      <w:r>
        <w:rPr>
          <w:rFonts w:hint="eastAsia" w:ascii="楷体" w:hAnsi="楷体" w:eastAsia="楷体" w:cs="宋体"/>
          <w:b/>
          <w:color w:val="auto"/>
          <w:sz w:val="32"/>
          <w:szCs w:val="32"/>
          <w:highlight w:val="none"/>
          <w:lang w:val="en-US" w:eastAsia="zh-CN"/>
        </w:rPr>
        <w:t>(一)项目实施的主要做法、经验</w:t>
      </w:r>
    </w:p>
    <w:p w14:paraId="09B5292D">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苏州高新区太湖科学城功能片区转供水管网改造提升工程在多方面积累了主要经验、形成了有效做法，涵盖项目规划设计、建设施工管理以及质量与安全保障等环节，有力推动了项目进展，</w:t>
      </w:r>
      <w:r>
        <w:rPr>
          <w:rFonts w:hint="eastAsia" w:ascii="仿宋" w:hAnsi="仿宋" w:eastAsia="仿宋" w:cs="宋体"/>
          <w:b/>
          <w:bCs/>
          <w:color w:val="auto"/>
          <w:kern w:val="2"/>
          <w:sz w:val="32"/>
          <w:szCs w:val="32"/>
          <w:highlight w:val="none"/>
          <w:lang w:val="en-US" w:eastAsia="zh-CN"/>
        </w:rPr>
        <w:t>一是</w:t>
      </w:r>
      <w:r>
        <w:rPr>
          <w:rFonts w:hint="eastAsia" w:ascii="仿宋" w:hAnsi="仿宋" w:eastAsia="仿宋" w:cs="宋体"/>
          <w:color w:val="auto"/>
          <w:kern w:val="2"/>
          <w:sz w:val="32"/>
          <w:szCs w:val="32"/>
          <w:highlight w:val="none"/>
          <w:lang w:val="en-US" w:eastAsia="zh-CN"/>
        </w:rPr>
        <w:t>依据相关法律法规、技术标准和区域规划编制项目方案，确保项目符合政策导向和区域发展需求，针对不同区域和用户特点制定合理的改造方案，如市政道路转供水管网根据管材、建设年限和用水户情况确定实施方案，城镇居民区新建给水管道并废除现状管道等。</w:t>
      </w:r>
      <w:r>
        <w:rPr>
          <w:rFonts w:hint="eastAsia" w:ascii="仿宋" w:hAnsi="仿宋" w:eastAsia="仿宋" w:cs="宋体"/>
          <w:b/>
          <w:bCs/>
          <w:color w:val="auto"/>
          <w:kern w:val="2"/>
          <w:sz w:val="32"/>
          <w:szCs w:val="32"/>
          <w:highlight w:val="none"/>
          <w:lang w:val="en-US" w:eastAsia="zh-CN"/>
        </w:rPr>
        <w:t>二是</w:t>
      </w:r>
      <w:r>
        <w:rPr>
          <w:rFonts w:hint="eastAsia" w:ascii="仿宋" w:hAnsi="仿宋" w:eastAsia="仿宋" w:cs="宋体"/>
          <w:color w:val="auto"/>
          <w:kern w:val="2"/>
          <w:sz w:val="32"/>
          <w:szCs w:val="32"/>
          <w:highlight w:val="none"/>
          <w:lang w:val="en-US" w:eastAsia="zh-CN"/>
        </w:rPr>
        <w:t>强化质量与安全保障，成立质量管理领导小组，明确质量目标和各岗位职责，制定质量管理制度和保证措施。明确安全管理目标，建立安全保证体系，配备专职安全管理人员。</w:t>
      </w:r>
      <w:r>
        <w:rPr>
          <w:rFonts w:hint="eastAsia" w:ascii="仿宋" w:hAnsi="仿宋" w:eastAsia="仿宋" w:cs="宋体"/>
          <w:b/>
          <w:bCs/>
          <w:color w:val="auto"/>
          <w:kern w:val="2"/>
          <w:sz w:val="32"/>
          <w:szCs w:val="32"/>
          <w:highlight w:val="none"/>
          <w:lang w:val="en-US" w:eastAsia="zh-CN"/>
        </w:rPr>
        <w:t>三是</w:t>
      </w:r>
      <w:r>
        <w:rPr>
          <w:rFonts w:hint="eastAsia" w:ascii="仿宋" w:hAnsi="仿宋" w:eastAsia="仿宋" w:cs="宋体"/>
          <w:color w:val="auto"/>
          <w:kern w:val="2"/>
          <w:sz w:val="32"/>
          <w:szCs w:val="32"/>
          <w:highlight w:val="none"/>
          <w:lang w:val="en-US" w:eastAsia="zh-CN"/>
        </w:rPr>
        <w:t>合理安排施工进度，制定详细的进度计划并明确各阶段任务，如可行性研究报告中明确各环节时间节点，施工过程中按照进度内控节点推进，保证项目顺利完工，项目完成情况及进度内控节点见下表。</w:t>
      </w:r>
    </w:p>
    <w:p w14:paraId="402A2D3E">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jc w:val="center"/>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b/>
          <w:bCs/>
          <w:color w:val="auto"/>
          <w:kern w:val="2"/>
          <w:sz w:val="32"/>
          <w:szCs w:val="32"/>
          <w:highlight w:val="none"/>
          <w:lang w:val="en-US" w:eastAsia="zh-CN"/>
        </w:rPr>
        <w:t>表1 项目实施进度明细表</w:t>
      </w:r>
    </w:p>
    <w:tbl>
      <w:tblPr>
        <w:tblStyle w:val="10"/>
        <w:tblW w:w="0" w:type="auto"/>
        <w:tblInd w:w="2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4010"/>
        <w:gridCol w:w="3244"/>
      </w:tblGrid>
      <w:tr w14:paraId="1CC7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blHeader/>
        </w:trPr>
        <w:tc>
          <w:tcPr>
            <w:tcW w:w="1446" w:type="dxa"/>
            <w:vAlign w:val="center"/>
          </w:tcPr>
          <w:p w14:paraId="0E890182">
            <w:pPr>
              <w:keepNext w:val="0"/>
              <w:keepLines w:val="0"/>
              <w:pageBreakBefore w:val="0"/>
              <w:widowControl/>
              <w:suppressLineNumbers w:val="0"/>
              <w:kinsoku/>
              <w:wordWrap/>
              <w:overflowPunct/>
              <w:topLinePunct w:val="0"/>
              <w:autoSpaceDE/>
              <w:autoSpaceDN/>
              <w:bidi w:val="0"/>
              <w:adjustRightInd w:val="0"/>
              <w:snapToGrid w:val="0"/>
              <w:jc w:val="center"/>
              <w:rPr>
                <w:rFonts w:hint="eastAsia" w:ascii="仿宋" w:hAnsi="仿宋" w:eastAsia="仿宋" w:cs="仿宋"/>
                <w:color w:val="auto"/>
                <w:kern w:val="2"/>
                <w:sz w:val="40"/>
                <w:szCs w:val="40"/>
                <w:highlight w:val="none"/>
                <w:vertAlign w:val="baseline"/>
                <w:lang w:val="en-US" w:eastAsia="zh-CN"/>
              </w:rPr>
            </w:pPr>
            <w:r>
              <w:rPr>
                <w:rFonts w:hint="eastAsia" w:ascii="仿宋" w:hAnsi="仿宋" w:eastAsia="仿宋" w:cs="仿宋"/>
                <w:b/>
                <w:bCs/>
                <w:i w:val="0"/>
                <w:iCs w:val="0"/>
                <w:caps w:val="0"/>
                <w:color w:val="auto"/>
                <w:spacing w:val="0"/>
                <w:kern w:val="0"/>
                <w:sz w:val="20"/>
                <w:szCs w:val="20"/>
                <w:highlight w:val="none"/>
                <w:lang w:val="en-US" w:eastAsia="zh-CN" w:bidi="ar"/>
              </w:rPr>
              <w:t>部位</w:t>
            </w:r>
          </w:p>
        </w:tc>
        <w:tc>
          <w:tcPr>
            <w:tcW w:w="4010" w:type="dxa"/>
            <w:vAlign w:val="center"/>
          </w:tcPr>
          <w:p w14:paraId="28D4CA84">
            <w:pPr>
              <w:keepNext w:val="0"/>
              <w:keepLines w:val="0"/>
              <w:pageBreakBefore w:val="0"/>
              <w:widowControl/>
              <w:suppressLineNumbers w:val="0"/>
              <w:kinsoku/>
              <w:wordWrap/>
              <w:overflowPunct/>
              <w:topLinePunct w:val="0"/>
              <w:autoSpaceDE/>
              <w:autoSpaceDN/>
              <w:bidi w:val="0"/>
              <w:adjustRightInd w:val="0"/>
              <w:snapToGrid w:val="0"/>
              <w:jc w:val="center"/>
              <w:rPr>
                <w:rFonts w:hint="eastAsia" w:ascii="仿宋" w:hAnsi="仿宋" w:eastAsia="仿宋" w:cs="仿宋"/>
                <w:color w:val="auto"/>
                <w:kern w:val="2"/>
                <w:sz w:val="40"/>
                <w:szCs w:val="40"/>
                <w:highlight w:val="none"/>
                <w:vertAlign w:val="baseline"/>
                <w:lang w:val="en-US" w:eastAsia="zh-CN"/>
              </w:rPr>
            </w:pPr>
            <w:r>
              <w:rPr>
                <w:rFonts w:hint="eastAsia" w:ascii="仿宋" w:hAnsi="仿宋" w:eastAsia="仿宋" w:cs="仿宋"/>
                <w:b/>
                <w:bCs/>
                <w:i w:val="0"/>
                <w:iCs w:val="0"/>
                <w:caps w:val="0"/>
                <w:color w:val="auto"/>
                <w:spacing w:val="0"/>
                <w:kern w:val="0"/>
                <w:sz w:val="20"/>
                <w:szCs w:val="20"/>
                <w:highlight w:val="none"/>
                <w:lang w:val="en-US" w:eastAsia="zh-CN" w:bidi="ar"/>
              </w:rPr>
              <w:t>目前进展</w:t>
            </w:r>
          </w:p>
        </w:tc>
        <w:tc>
          <w:tcPr>
            <w:tcW w:w="3244" w:type="dxa"/>
            <w:vAlign w:val="center"/>
          </w:tcPr>
          <w:p w14:paraId="0EC22886">
            <w:pPr>
              <w:keepNext w:val="0"/>
              <w:keepLines w:val="0"/>
              <w:pageBreakBefore w:val="0"/>
              <w:widowControl/>
              <w:suppressLineNumbers w:val="0"/>
              <w:kinsoku/>
              <w:wordWrap/>
              <w:overflowPunct/>
              <w:topLinePunct w:val="0"/>
              <w:autoSpaceDE/>
              <w:autoSpaceDN/>
              <w:bidi w:val="0"/>
              <w:adjustRightInd w:val="0"/>
              <w:snapToGrid w:val="0"/>
              <w:jc w:val="center"/>
              <w:rPr>
                <w:rFonts w:hint="eastAsia" w:ascii="仿宋" w:hAnsi="仿宋" w:eastAsia="仿宋" w:cs="仿宋"/>
                <w:color w:val="auto"/>
                <w:kern w:val="2"/>
                <w:sz w:val="40"/>
                <w:szCs w:val="40"/>
                <w:highlight w:val="none"/>
                <w:vertAlign w:val="baseline"/>
                <w:lang w:val="en-US" w:eastAsia="zh-CN"/>
              </w:rPr>
            </w:pPr>
            <w:r>
              <w:rPr>
                <w:rFonts w:hint="eastAsia" w:ascii="仿宋" w:hAnsi="仿宋" w:eastAsia="仿宋" w:cs="仿宋"/>
                <w:b/>
                <w:bCs/>
                <w:i w:val="0"/>
                <w:iCs w:val="0"/>
                <w:caps w:val="0"/>
                <w:color w:val="auto"/>
                <w:spacing w:val="0"/>
                <w:kern w:val="0"/>
                <w:sz w:val="20"/>
                <w:szCs w:val="20"/>
                <w:highlight w:val="none"/>
                <w:lang w:val="en-US" w:eastAsia="zh-CN" w:bidi="ar"/>
              </w:rPr>
              <w:t>进度内控节点</w:t>
            </w:r>
          </w:p>
        </w:tc>
      </w:tr>
      <w:tr w14:paraId="61F7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446" w:type="dxa"/>
            <w:vAlign w:val="center"/>
          </w:tcPr>
          <w:p w14:paraId="61BCB264">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万佛寺路</w:t>
            </w:r>
          </w:p>
        </w:tc>
        <w:tc>
          <w:tcPr>
            <w:tcW w:w="4010" w:type="dxa"/>
            <w:vAlign w:val="center"/>
          </w:tcPr>
          <w:p w14:paraId="7F6C12B2">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球墨铸铁给水管已100%完成，沥青道路恢复已完成。</w:t>
            </w:r>
          </w:p>
        </w:tc>
        <w:tc>
          <w:tcPr>
            <w:tcW w:w="3244" w:type="dxa"/>
            <w:vAlign w:val="center"/>
          </w:tcPr>
          <w:p w14:paraId="4A5B6579">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主管道计划12月15日铺设完成</w:t>
            </w:r>
          </w:p>
        </w:tc>
      </w:tr>
      <w:tr w14:paraId="6370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446" w:type="dxa"/>
            <w:vAlign w:val="center"/>
          </w:tcPr>
          <w:p w14:paraId="16365F29">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西京</w:t>
            </w:r>
          </w:p>
        </w:tc>
        <w:tc>
          <w:tcPr>
            <w:tcW w:w="4010" w:type="dxa"/>
            <w:vAlign w:val="center"/>
          </w:tcPr>
          <w:p w14:paraId="35149FAB">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球墨铸铁给水管及PE给水管已完成90%，沥青道路恢复已完成，混凝土道路恢复已完成90%。</w:t>
            </w:r>
          </w:p>
        </w:tc>
        <w:tc>
          <w:tcPr>
            <w:tcW w:w="3244" w:type="dxa"/>
            <w:vAlign w:val="center"/>
          </w:tcPr>
          <w:p w14:paraId="3437EBA7">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主管道及支管铺设计划2025年3月初完成。</w:t>
            </w:r>
          </w:p>
        </w:tc>
      </w:tr>
      <w:tr w14:paraId="4DCB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446" w:type="dxa"/>
            <w:vAlign w:val="center"/>
          </w:tcPr>
          <w:p w14:paraId="14F73552">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滆镇路</w:t>
            </w:r>
          </w:p>
        </w:tc>
        <w:tc>
          <w:tcPr>
            <w:tcW w:w="4010" w:type="dxa"/>
            <w:vAlign w:val="center"/>
          </w:tcPr>
          <w:p w14:paraId="3AB736F7">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球墨铸铁给水管及PE给水管已100%完成。</w:t>
            </w:r>
          </w:p>
        </w:tc>
        <w:tc>
          <w:tcPr>
            <w:tcW w:w="3244" w:type="dxa"/>
            <w:vAlign w:val="center"/>
          </w:tcPr>
          <w:p w14:paraId="7513FDBE">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主管道及支管铺设计划于2024年12月底完成</w:t>
            </w:r>
          </w:p>
        </w:tc>
      </w:tr>
      <w:tr w14:paraId="763F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446" w:type="dxa"/>
            <w:vAlign w:val="center"/>
          </w:tcPr>
          <w:p w14:paraId="2156D598">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太湖</w:t>
            </w:r>
          </w:p>
        </w:tc>
        <w:tc>
          <w:tcPr>
            <w:tcW w:w="4010" w:type="dxa"/>
            <w:vAlign w:val="center"/>
          </w:tcPr>
          <w:p w14:paraId="1DD9C107">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球墨铸铁给水管及PE给水管已100%完成，沥青及混凝土道路恢复已完成。</w:t>
            </w:r>
          </w:p>
        </w:tc>
        <w:tc>
          <w:tcPr>
            <w:tcW w:w="3244" w:type="dxa"/>
            <w:vAlign w:val="center"/>
          </w:tcPr>
          <w:p w14:paraId="00AB3D59">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主管道及支管铺设计划于2024年12月底完成</w:t>
            </w:r>
          </w:p>
        </w:tc>
      </w:tr>
      <w:tr w14:paraId="7DE3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446" w:type="dxa"/>
            <w:vAlign w:val="center"/>
          </w:tcPr>
          <w:p w14:paraId="0B888805">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寺桥南街</w:t>
            </w:r>
          </w:p>
        </w:tc>
        <w:tc>
          <w:tcPr>
            <w:tcW w:w="4010" w:type="dxa"/>
            <w:vAlign w:val="center"/>
          </w:tcPr>
          <w:p w14:paraId="32A13044">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球墨铸铁给水管及PE给水管已100%完成，沥青及混凝土道路恢复已完成。</w:t>
            </w:r>
          </w:p>
        </w:tc>
        <w:tc>
          <w:tcPr>
            <w:tcW w:w="3244" w:type="dxa"/>
            <w:vAlign w:val="center"/>
          </w:tcPr>
          <w:p w14:paraId="1D81AD2F">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主管道及支管计划于2024年12月中旬铺设完成</w:t>
            </w:r>
          </w:p>
        </w:tc>
      </w:tr>
      <w:tr w14:paraId="4AC4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446" w:type="dxa"/>
            <w:vAlign w:val="center"/>
          </w:tcPr>
          <w:p w14:paraId="0374310D">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北太湖大道至三洋段</w:t>
            </w:r>
          </w:p>
        </w:tc>
        <w:tc>
          <w:tcPr>
            <w:tcW w:w="4010" w:type="dxa"/>
            <w:vAlign w:val="center"/>
          </w:tcPr>
          <w:p w14:paraId="28104D76">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球墨铸铁给水管及PE给水管已100%完成，道路恢复完成85%。</w:t>
            </w:r>
          </w:p>
        </w:tc>
        <w:tc>
          <w:tcPr>
            <w:tcW w:w="3244" w:type="dxa"/>
            <w:vAlign w:val="center"/>
          </w:tcPr>
          <w:p w14:paraId="65B8E19C">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主管道计划2024年12月28日全部铺设完成，沥青道路恢复计划于2025年3月初完成。</w:t>
            </w:r>
          </w:p>
        </w:tc>
      </w:tr>
      <w:tr w14:paraId="214D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446" w:type="dxa"/>
            <w:vAlign w:val="center"/>
          </w:tcPr>
          <w:p w14:paraId="68B643F1">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教师公寓楼</w:t>
            </w:r>
          </w:p>
        </w:tc>
        <w:tc>
          <w:tcPr>
            <w:tcW w:w="4010" w:type="dxa"/>
            <w:vAlign w:val="center"/>
          </w:tcPr>
          <w:p w14:paraId="40EB09AD">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球墨铸铁给水管及PE给水管已100%完成，道路恢复100%完成。</w:t>
            </w:r>
          </w:p>
        </w:tc>
        <w:tc>
          <w:tcPr>
            <w:tcW w:w="3244" w:type="dxa"/>
            <w:vAlign w:val="center"/>
          </w:tcPr>
          <w:p w14:paraId="6F49D038">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主管道及支管铺设计划于2024年12月底完成</w:t>
            </w:r>
          </w:p>
        </w:tc>
      </w:tr>
      <w:tr w14:paraId="1A45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446" w:type="dxa"/>
            <w:vAlign w:val="center"/>
          </w:tcPr>
          <w:p w14:paraId="259208FE">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政府住宅楼</w:t>
            </w:r>
          </w:p>
        </w:tc>
        <w:tc>
          <w:tcPr>
            <w:tcW w:w="4010" w:type="dxa"/>
            <w:vAlign w:val="center"/>
          </w:tcPr>
          <w:p w14:paraId="6B681A93">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球墨铸铁给水管及PE给水管已100%完成，道路恢复100%完成。</w:t>
            </w:r>
          </w:p>
        </w:tc>
        <w:tc>
          <w:tcPr>
            <w:tcW w:w="3244" w:type="dxa"/>
            <w:vAlign w:val="center"/>
          </w:tcPr>
          <w:p w14:paraId="50C45C18">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主管道及支管铺设计划于2024年12月底完成</w:t>
            </w:r>
          </w:p>
        </w:tc>
      </w:tr>
      <w:tr w14:paraId="68C2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446" w:type="dxa"/>
            <w:vAlign w:val="center"/>
          </w:tcPr>
          <w:p w14:paraId="221CE6C4">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镇湖小菜场商铺</w:t>
            </w:r>
          </w:p>
        </w:tc>
        <w:tc>
          <w:tcPr>
            <w:tcW w:w="4010" w:type="dxa"/>
            <w:vAlign w:val="center"/>
          </w:tcPr>
          <w:p w14:paraId="0C0B0C2D">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球墨铸铁给水管及PE给水管已100%完成，道路恢复100%完成。</w:t>
            </w:r>
          </w:p>
        </w:tc>
        <w:tc>
          <w:tcPr>
            <w:tcW w:w="3244" w:type="dxa"/>
            <w:vAlign w:val="center"/>
          </w:tcPr>
          <w:p w14:paraId="087BBEC1">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主管道及支管铺设计划于2024年12月底完成</w:t>
            </w:r>
          </w:p>
        </w:tc>
      </w:tr>
      <w:tr w14:paraId="3DFC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446" w:type="dxa"/>
            <w:vAlign w:val="center"/>
          </w:tcPr>
          <w:p w14:paraId="3EEBA088">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马山</w:t>
            </w:r>
          </w:p>
        </w:tc>
        <w:tc>
          <w:tcPr>
            <w:tcW w:w="4010" w:type="dxa"/>
            <w:vAlign w:val="center"/>
          </w:tcPr>
          <w:p w14:paraId="221943F3">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球墨铸铁给水管及PE给水管已完成100%，道路恢复已完成100%。</w:t>
            </w:r>
          </w:p>
        </w:tc>
        <w:tc>
          <w:tcPr>
            <w:tcW w:w="3244" w:type="dxa"/>
            <w:vAlign w:val="center"/>
          </w:tcPr>
          <w:p w14:paraId="6DD1D6DB">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主管道及支管铺设计划于2025年6月底完成。</w:t>
            </w:r>
          </w:p>
        </w:tc>
      </w:tr>
      <w:tr w14:paraId="4271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446" w:type="dxa"/>
            <w:vAlign w:val="center"/>
          </w:tcPr>
          <w:p w14:paraId="05D1C1A0">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市桥</w:t>
            </w:r>
          </w:p>
        </w:tc>
        <w:tc>
          <w:tcPr>
            <w:tcW w:w="4010" w:type="dxa"/>
            <w:vAlign w:val="center"/>
          </w:tcPr>
          <w:p w14:paraId="08F410E8">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市桥球墨铸铁给水管及PE给水管已100%完成，道路恢复100%完成。</w:t>
            </w:r>
          </w:p>
        </w:tc>
        <w:tc>
          <w:tcPr>
            <w:tcW w:w="3244" w:type="dxa"/>
            <w:vAlign w:val="center"/>
          </w:tcPr>
          <w:p w14:paraId="0AD9EF2C">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主管道及支管铺设计划于2025年6月底完成。</w:t>
            </w:r>
          </w:p>
        </w:tc>
      </w:tr>
      <w:tr w14:paraId="57DF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46" w:type="dxa"/>
            <w:vAlign w:val="center"/>
          </w:tcPr>
          <w:p w14:paraId="56893696">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秀岸</w:t>
            </w:r>
          </w:p>
        </w:tc>
        <w:tc>
          <w:tcPr>
            <w:tcW w:w="4010" w:type="dxa"/>
            <w:vAlign w:val="center"/>
          </w:tcPr>
          <w:p w14:paraId="279B4C95">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秀岸球墨铸铁给水管及PE给水管已完成100%，道路恢复100%。</w:t>
            </w:r>
          </w:p>
        </w:tc>
        <w:tc>
          <w:tcPr>
            <w:tcW w:w="3244" w:type="dxa"/>
            <w:vAlign w:val="center"/>
          </w:tcPr>
          <w:p w14:paraId="64261209">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主管道及支管铺设计划于2025年10月底完成。</w:t>
            </w:r>
          </w:p>
        </w:tc>
      </w:tr>
      <w:tr w14:paraId="2F1B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46" w:type="dxa"/>
            <w:vAlign w:val="center"/>
          </w:tcPr>
          <w:p w14:paraId="05744147">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西村</w:t>
            </w:r>
          </w:p>
        </w:tc>
        <w:tc>
          <w:tcPr>
            <w:tcW w:w="4010" w:type="dxa"/>
            <w:vAlign w:val="center"/>
          </w:tcPr>
          <w:p w14:paraId="0F8D8D87">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西村球墨铸铁给水管及PE给水管已完成100%，道路恢复100%。</w:t>
            </w:r>
          </w:p>
        </w:tc>
        <w:tc>
          <w:tcPr>
            <w:tcW w:w="3244" w:type="dxa"/>
            <w:vAlign w:val="center"/>
          </w:tcPr>
          <w:p w14:paraId="03AE09F7">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主管道及支管铺设计划于2025年10月底完成。</w:t>
            </w:r>
          </w:p>
        </w:tc>
      </w:tr>
      <w:tr w14:paraId="7B3E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446" w:type="dxa"/>
            <w:vAlign w:val="center"/>
          </w:tcPr>
          <w:p w14:paraId="300F036B">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山旺</w:t>
            </w:r>
          </w:p>
        </w:tc>
        <w:tc>
          <w:tcPr>
            <w:tcW w:w="4010" w:type="dxa"/>
            <w:vAlign w:val="center"/>
          </w:tcPr>
          <w:p w14:paraId="0382B626">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山旺球墨铸铁给水管及PE给水管已完成100%，道路恢复100%。</w:t>
            </w:r>
          </w:p>
        </w:tc>
        <w:tc>
          <w:tcPr>
            <w:tcW w:w="3244" w:type="dxa"/>
            <w:vAlign w:val="center"/>
          </w:tcPr>
          <w:p w14:paraId="63E6337D">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主管道及支管铺设计划于2025年9月底完成。</w:t>
            </w:r>
          </w:p>
        </w:tc>
      </w:tr>
      <w:tr w14:paraId="7AC0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446" w:type="dxa"/>
            <w:vAlign w:val="center"/>
          </w:tcPr>
          <w:p w14:paraId="253375CF">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石帆</w:t>
            </w:r>
          </w:p>
        </w:tc>
        <w:tc>
          <w:tcPr>
            <w:tcW w:w="4010" w:type="dxa"/>
            <w:vAlign w:val="center"/>
          </w:tcPr>
          <w:p w14:paraId="3B131D79">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石帆球墨铸铁给水管及PE给水管已完成100%，道路恢复完成100%。</w:t>
            </w:r>
          </w:p>
        </w:tc>
        <w:tc>
          <w:tcPr>
            <w:tcW w:w="3244" w:type="dxa"/>
            <w:vAlign w:val="center"/>
          </w:tcPr>
          <w:p w14:paraId="78544C3A">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主管道及支管铺设计划于2025年8月底完成。</w:t>
            </w:r>
          </w:p>
        </w:tc>
      </w:tr>
      <w:tr w14:paraId="681D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446" w:type="dxa"/>
            <w:vAlign w:val="center"/>
          </w:tcPr>
          <w:p w14:paraId="343B2C23">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新桥</w:t>
            </w:r>
          </w:p>
        </w:tc>
        <w:tc>
          <w:tcPr>
            <w:tcW w:w="4010" w:type="dxa"/>
            <w:vAlign w:val="center"/>
          </w:tcPr>
          <w:p w14:paraId="5193D7AF">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新桥PE给水管已完成100%，道路恢复完成100%。</w:t>
            </w:r>
          </w:p>
        </w:tc>
        <w:tc>
          <w:tcPr>
            <w:tcW w:w="3244" w:type="dxa"/>
            <w:vAlign w:val="center"/>
          </w:tcPr>
          <w:p w14:paraId="59AFFEE5">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主管道及支管铺设计划于2025年10月底完成。</w:t>
            </w:r>
          </w:p>
        </w:tc>
      </w:tr>
      <w:tr w14:paraId="77DF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446" w:type="dxa"/>
            <w:vAlign w:val="center"/>
          </w:tcPr>
          <w:p w14:paraId="26F49AC9">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协新路</w:t>
            </w:r>
          </w:p>
        </w:tc>
        <w:tc>
          <w:tcPr>
            <w:tcW w:w="4010" w:type="dxa"/>
            <w:vAlign w:val="center"/>
          </w:tcPr>
          <w:p w14:paraId="08850250">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协新路球墨铸铁给水管及PE给水管已完成100%，道路恢复完成100%。</w:t>
            </w:r>
          </w:p>
        </w:tc>
        <w:tc>
          <w:tcPr>
            <w:tcW w:w="3244" w:type="dxa"/>
            <w:vAlign w:val="center"/>
          </w:tcPr>
          <w:p w14:paraId="7E25BC4F">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主管道及支管铺设计划于2025年11月底完成。</w:t>
            </w:r>
          </w:p>
        </w:tc>
      </w:tr>
      <w:tr w14:paraId="5E2E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446" w:type="dxa"/>
            <w:vAlign w:val="center"/>
          </w:tcPr>
          <w:p w14:paraId="220E61C0">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寺桥西街、东城路、西华路、寺桥西街</w:t>
            </w:r>
          </w:p>
        </w:tc>
        <w:tc>
          <w:tcPr>
            <w:tcW w:w="4010" w:type="dxa"/>
            <w:vAlign w:val="center"/>
          </w:tcPr>
          <w:p w14:paraId="35FFCCD7">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球墨铸铁给水管及PE给水管已100%完成，道路恢复100%。</w:t>
            </w:r>
          </w:p>
        </w:tc>
        <w:tc>
          <w:tcPr>
            <w:tcW w:w="3244" w:type="dxa"/>
            <w:vAlign w:val="center"/>
          </w:tcPr>
          <w:p w14:paraId="625EE6F1">
            <w:pPr>
              <w:keepNext w:val="0"/>
              <w:keepLines w:val="0"/>
              <w:widowControl/>
              <w:suppressLineNumbers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主管道及支管铺设计划于2025年12月底完成。</w:t>
            </w:r>
          </w:p>
        </w:tc>
      </w:tr>
      <w:tr w14:paraId="4F99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700" w:type="dxa"/>
            <w:gridSpan w:val="3"/>
            <w:vAlign w:val="center"/>
          </w:tcPr>
          <w:p w14:paraId="09E39AB1">
            <w:pPr>
              <w:keepNext w:val="0"/>
              <w:keepLines w:val="0"/>
              <w:pageBreakBefore w:val="0"/>
              <w:widowControl/>
              <w:suppressLineNumbers w:val="0"/>
              <w:kinsoku/>
              <w:wordWrap/>
              <w:overflowPunct/>
              <w:topLinePunct w:val="0"/>
              <w:autoSpaceDE/>
              <w:autoSpaceDN/>
              <w:bidi w:val="0"/>
              <w:adjustRightInd w:val="0"/>
              <w:snapToGrid w:val="0"/>
              <w:jc w:val="left"/>
              <w:rPr>
                <w:rFonts w:hint="eastAsia" w:ascii="仿宋" w:hAnsi="仿宋" w:eastAsia="仿宋" w:cs="仿宋"/>
                <w:i w:val="0"/>
                <w:iCs w:val="0"/>
                <w:caps w:val="0"/>
                <w:color w:val="auto"/>
                <w:spacing w:val="0"/>
                <w:kern w:val="0"/>
                <w:sz w:val="20"/>
                <w:szCs w:val="20"/>
                <w:highlight w:val="none"/>
                <w:lang w:val="en-US" w:eastAsia="zh-CN" w:bidi="ar"/>
              </w:rPr>
            </w:pPr>
            <w:r>
              <w:rPr>
                <w:rFonts w:hint="eastAsia" w:ascii="仿宋" w:hAnsi="仿宋" w:eastAsia="仿宋" w:cs="仿宋"/>
                <w:i w:val="0"/>
                <w:iCs w:val="0"/>
                <w:caps w:val="0"/>
                <w:color w:val="auto"/>
                <w:spacing w:val="0"/>
                <w:kern w:val="0"/>
                <w:sz w:val="20"/>
                <w:szCs w:val="20"/>
                <w:highlight w:val="none"/>
                <w:lang w:val="en-US" w:eastAsia="zh-CN" w:bidi="ar"/>
              </w:rPr>
              <w:t>产值情况:截止2025年12月31日累计完成产值约5056.22万元，完成率100%。</w:t>
            </w:r>
          </w:p>
        </w:tc>
      </w:tr>
    </w:tbl>
    <w:p w14:paraId="31895A4E">
      <w:pPr>
        <w:numPr>
          <w:ilvl w:val="0"/>
          <w:numId w:val="3"/>
        </w:numPr>
        <w:autoSpaceDE w:val="0"/>
        <w:autoSpaceDN w:val="0"/>
        <w:spacing w:line="600" w:lineRule="exact"/>
        <w:ind w:firstLine="643" w:firstLineChars="200"/>
        <w:outlineLvl w:val="1"/>
        <w:rPr>
          <w:rFonts w:hint="eastAsia" w:ascii="楷体" w:hAnsi="楷体" w:eastAsia="楷体" w:cs="宋体"/>
          <w:b/>
          <w:color w:val="auto"/>
          <w:sz w:val="32"/>
          <w:szCs w:val="32"/>
          <w:highlight w:val="none"/>
          <w:lang w:val="en-US" w:eastAsia="zh-CN"/>
        </w:rPr>
      </w:pPr>
      <w:r>
        <w:rPr>
          <w:rFonts w:hint="eastAsia" w:ascii="楷体" w:hAnsi="楷体" w:eastAsia="楷体" w:cs="宋体"/>
          <w:b/>
          <w:color w:val="auto"/>
          <w:sz w:val="32"/>
          <w:szCs w:val="32"/>
          <w:highlight w:val="none"/>
          <w:lang w:val="en-US" w:eastAsia="zh-CN"/>
        </w:rPr>
        <w:t>绩效指标完成情况</w:t>
      </w:r>
    </w:p>
    <w:p w14:paraId="77E3AC88">
      <w:pPr>
        <w:numPr>
          <w:ilvl w:val="0"/>
          <w:numId w:val="0"/>
        </w:numPr>
        <w:autoSpaceDE w:val="0"/>
        <w:autoSpaceDN w:val="0"/>
        <w:spacing w:line="600" w:lineRule="exact"/>
        <w:ind w:firstLine="643" w:firstLineChars="200"/>
        <w:outlineLvl w:val="2"/>
        <w:rPr>
          <w:rFonts w:hint="eastAsia" w:ascii="楷体" w:hAnsi="楷体" w:eastAsia="楷体" w:cs="宋体"/>
          <w:b/>
          <w:color w:val="auto"/>
          <w:sz w:val="32"/>
          <w:szCs w:val="32"/>
          <w:highlight w:val="none"/>
        </w:rPr>
      </w:pPr>
      <w:r>
        <w:rPr>
          <w:rFonts w:hint="eastAsia" w:ascii="楷体" w:hAnsi="楷体" w:eastAsia="楷体" w:cs="宋体"/>
          <w:b/>
          <w:color w:val="auto"/>
          <w:sz w:val="32"/>
          <w:szCs w:val="32"/>
          <w:highlight w:val="none"/>
          <w:lang w:val="en-US" w:eastAsia="zh-CN"/>
        </w:rPr>
        <w:t>1.</w:t>
      </w:r>
      <w:r>
        <w:rPr>
          <w:rFonts w:hint="eastAsia" w:ascii="楷体" w:hAnsi="楷体" w:eastAsia="楷体" w:cs="宋体"/>
          <w:b/>
          <w:color w:val="auto"/>
          <w:sz w:val="32"/>
          <w:szCs w:val="32"/>
          <w:highlight w:val="none"/>
        </w:rPr>
        <w:t>过程目标</w:t>
      </w:r>
    </w:p>
    <w:p w14:paraId="3F3B1DF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3"/>
        <w:rPr>
          <w:rFonts w:ascii="仿宋" w:hAnsi="仿宋" w:eastAsia="仿宋" w:cs="宋体"/>
          <w:b/>
          <w:bCs/>
          <w:color w:val="auto"/>
          <w:sz w:val="32"/>
          <w:szCs w:val="32"/>
          <w:highlight w:val="none"/>
        </w:rPr>
      </w:pPr>
      <w:r>
        <w:rPr>
          <w:rFonts w:hint="default" w:ascii="仿宋" w:hAnsi="仿宋" w:eastAsia="仿宋" w:cs="宋体"/>
          <w:b/>
          <w:bCs/>
          <w:color w:val="auto"/>
          <w:sz w:val="32"/>
          <w:szCs w:val="32"/>
          <w:highlight w:val="none"/>
          <w:lang w:val="en-US" w:eastAsia="en-US" w:bidi="ar-SA"/>
        </w:rPr>
        <w:t>(1)</w:t>
      </w:r>
      <w:r>
        <w:rPr>
          <w:rFonts w:hint="eastAsia" w:ascii="仿宋" w:hAnsi="仿宋" w:eastAsia="仿宋" w:cs="宋体"/>
          <w:b/>
          <w:bCs/>
          <w:color w:val="auto"/>
          <w:sz w:val="32"/>
          <w:szCs w:val="32"/>
          <w:highlight w:val="none"/>
        </w:rPr>
        <w:t>资金到位率</w:t>
      </w:r>
    </w:p>
    <w:p w14:paraId="50358FA0">
      <w:pPr>
        <w:numPr>
          <w:ilvl w:val="0"/>
          <w:numId w:val="0"/>
        </w:numPr>
        <w:autoSpaceDE w:val="0"/>
        <w:autoSpaceDN w:val="0"/>
        <w:spacing w:line="600" w:lineRule="exact"/>
        <w:ind w:firstLine="640" w:firstLineChars="200"/>
        <w:jc w:val="both"/>
        <w:rPr>
          <w:rFonts w:hint="default"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rPr>
        <w:t>指标目标值100%，实际完成值100%</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依据《关于公开发行2025年江苏省政府专项债券（二至八期）有关事项的通知》（苏财债〔2025〕29号）、《2025年江苏省政府专项债券（二至八期）信息披露文件》、《2025年江苏省乡村振兴专项债券(一期)-2025年江苏省政府专项债券(四期)债券基本信息》，资金到位率为1300/1300*100%=100%，得分为7.5*100%=7.5分。</w:t>
      </w:r>
    </w:p>
    <w:p w14:paraId="4F5FCCF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3"/>
        <w:rPr>
          <w:rFonts w:hint="eastAsia" w:ascii="仿宋" w:hAnsi="仿宋" w:eastAsia="仿宋" w:cs="宋体"/>
          <w:b/>
          <w:bCs/>
          <w:color w:val="auto"/>
          <w:sz w:val="32"/>
          <w:szCs w:val="32"/>
          <w:highlight w:val="none"/>
        </w:rPr>
      </w:pPr>
      <w:r>
        <w:rPr>
          <w:rFonts w:hint="default" w:ascii="仿宋" w:hAnsi="仿宋" w:eastAsia="仿宋" w:cs="宋体"/>
          <w:b/>
          <w:bCs/>
          <w:color w:val="auto"/>
          <w:sz w:val="32"/>
          <w:szCs w:val="32"/>
          <w:highlight w:val="none"/>
          <w:lang w:val="en-US" w:eastAsia="en-US" w:bidi="ar-SA"/>
        </w:rPr>
        <w:t>(2)</w:t>
      </w:r>
      <w:r>
        <w:rPr>
          <w:rFonts w:hint="eastAsia" w:ascii="仿宋" w:hAnsi="仿宋" w:eastAsia="仿宋" w:cs="宋体"/>
          <w:b/>
          <w:bCs/>
          <w:color w:val="auto"/>
          <w:sz w:val="32"/>
          <w:szCs w:val="32"/>
          <w:highlight w:val="none"/>
          <w:lang w:val="en-US" w:eastAsia="zh-CN"/>
        </w:rPr>
        <w:t>资金</w:t>
      </w:r>
      <w:r>
        <w:rPr>
          <w:rFonts w:hint="eastAsia" w:ascii="仿宋" w:hAnsi="仿宋" w:eastAsia="仿宋" w:cs="宋体"/>
          <w:b/>
          <w:bCs/>
          <w:color w:val="auto"/>
          <w:sz w:val="32"/>
          <w:szCs w:val="32"/>
          <w:highlight w:val="none"/>
        </w:rPr>
        <w:t>执行率</w:t>
      </w:r>
    </w:p>
    <w:p w14:paraId="54D72BC3">
      <w:pPr>
        <w:numPr>
          <w:ilvl w:val="0"/>
          <w:numId w:val="0"/>
        </w:numPr>
        <w:autoSpaceDE w:val="0"/>
        <w:autoSpaceDN w:val="0"/>
        <w:spacing w:line="600" w:lineRule="exact"/>
        <w:ind w:firstLine="640" w:firstLineChars="200"/>
        <w:rPr>
          <w:rFonts w:hint="eastAsia"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rPr>
        <w:t>指标目标值100%，实际完成值100%</w:t>
      </w:r>
      <w:r>
        <w:rPr>
          <w:rFonts w:hint="eastAsia" w:ascii="仿宋" w:hAnsi="仿宋" w:eastAsia="仿宋" w:cs="宋体"/>
          <w:color w:val="auto"/>
          <w:sz w:val="32"/>
          <w:szCs w:val="32"/>
          <w:highlight w:val="none"/>
          <w:lang w:eastAsia="zh-CN"/>
        </w:rPr>
        <w:t>。依据用款申请单、合同支付台账、项目支出明细账</w:t>
      </w:r>
      <w:r>
        <w:rPr>
          <w:rFonts w:hint="eastAsia" w:ascii="仿宋" w:hAnsi="仿宋" w:eastAsia="仿宋" w:cs="宋体"/>
          <w:color w:val="auto"/>
          <w:sz w:val="32"/>
          <w:szCs w:val="32"/>
          <w:highlight w:val="none"/>
          <w:lang w:val="en-US" w:eastAsia="zh-CN"/>
        </w:rPr>
        <w:t>等</w:t>
      </w:r>
      <w:r>
        <w:rPr>
          <w:rFonts w:hint="eastAsia" w:ascii="仿宋" w:hAnsi="仿宋" w:eastAsia="仿宋" w:cs="宋体"/>
          <w:color w:val="auto"/>
          <w:sz w:val="32"/>
          <w:szCs w:val="32"/>
          <w:highlight w:val="none"/>
          <w:lang w:eastAsia="zh-CN"/>
        </w:rPr>
        <w:t>，资金执行率为</w:t>
      </w:r>
      <w:r>
        <w:rPr>
          <w:rFonts w:hint="eastAsia" w:ascii="仿宋" w:hAnsi="仿宋" w:eastAsia="仿宋" w:cs="宋体"/>
          <w:color w:val="auto"/>
          <w:sz w:val="32"/>
          <w:szCs w:val="32"/>
          <w:highlight w:val="none"/>
          <w:lang w:val="en-US" w:eastAsia="zh-CN"/>
        </w:rPr>
        <w:t>1300/1300*100%=100%，得分为7.5*100%=7.5分。</w:t>
      </w:r>
    </w:p>
    <w:p w14:paraId="751D37D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3"/>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(3)</w:t>
      </w:r>
      <w:r>
        <w:rPr>
          <w:rFonts w:hint="eastAsia" w:ascii="仿宋" w:hAnsi="仿宋" w:eastAsia="仿宋" w:cs="宋体"/>
          <w:b/>
          <w:bCs/>
          <w:color w:val="auto"/>
          <w:sz w:val="32"/>
          <w:szCs w:val="32"/>
          <w:highlight w:val="none"/>
          <w:lang w:val="en-US" w:eastAsia="zh-CN"/>
        </w:rPr>
        <w:t>管理制度健全性</w:t>
      </w:r>
    </w:p>
    <w:p w14:paraId="000CC84E">
      <w:pPr>
        <w:numPr>
          <w:ilvl w:val="0"/>
          <w:numId w:val="0"/>
        </w:numPr>
        <w:autoSpaceDE w:val="0"/>
        <w:autoSpaceDN w:val="0"/>
        <w:spacing w:line="600" w:lineRule="exact"/>
        <w:ind w:firstLine="640" w:firstLineChars="200"/>
        <w:jc w:val="both"/>
        <w:rPr>
          <w:rFonts w:hint="eastAsia"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rPr>
        <w:t>指标目标值合规,实际完成值合规。依据江苏省《转发财政部关于印发＜地方政府专项债券项目资金绩效管理办法＞的通知》（苏财办〔2021〕46号）</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rPr>
        <w:t>《苏州高新区政府专项债券项目资金绩效管理暂行办法》(苏高新财〔2022〕72号)</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rPr>
        <w:t>《关于修订苏州科技城建设工程变更管理办法的通知》（苏科管〔2021〕49号）、《苏州高新区自来水有限公司工程管理部施工管理办法》、《苏州高新区太湖科学城功能片区转供水管网改造提升工程监理实施细则》,管理制度健全</w:t>
      </w:r>
      <w:r>
        <w:rPr>
          <w:rFonts w:hint="eastAsia" w:ascii="仿宋" w:hAnsi="仿宋" w:eastAsia="仿宋" w:cs="宋体"/>
          <w:color w:val="auto"/>
          <w:sz w:val="32"/>
          <w:szCs w:val="32"/>
          <w:highlight w:val="none"/>
          <w:lang w:val="en-US" w:eastAsia="zh-CN"/>
        </w:rPr>
        <w:t>，得分为7.5*100%=7.5分。</w:t>
      </w:r>
    </w:p>
    <w:p w14:paraId="32E6A1D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3"/>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(4)</w:t>
      </w:r>
      <w:r>
        <w:rPr>
          <w:rFonts w:hint="eastAsia" w:ascii="仿宋" w:hAnsi="仿宋" w:eastAsia="仿宋" w:cs="宋体"/>
          <w:b/>
          <w:bCs/>
          <w:color w:val="auto"/>
          <w:sz w:val="32"/>
          <w:szCs w:val="32"/>
          <w:highlight w:val="none"/>
          <w:lang w:val="en-US" w:eastAsia="zh-CN"/>
        </w:rPr>
        <w:t>制度执行有效性</w:t>
      </w:r>
    </w:p>
    <w:p w14:paraId="4A61269C">
      <w:pPr>
        <w:numPr>
          <w:ilvl w:val="0"/>
          <w:numId w:val="0"/>
        </w:numPr>
        <w:autoSpaceDE w:val="0"/>
        <w:autoSpaceDN w:val="0"/>
        <w:spacing w:line="600" w:lineRule="exact"/>
        <w:ind w:firstLine="640" w:firstLineChars="200"/>
        <w:rPr>
          <w:rFonts w:hint="eastAsia"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rPr>
        <w:t>指标目标值有效,实际完成值部分达成并有一定效果</w:t>
      </w:r>
      <w:r>
        <w:rPr>
          <w:rFonts w:hint="eastAsia" w:ascii="仿宋" w:hAnsi="仿宋" w:eastAsia="仿宋" w:cs="宋体"/>
          <w:color w:val="auto"/>
          <w:sz w:val="32"/>
          <w:szCs w:val="32"/>
          <w:highlight w:val="none"/>
          <w:lang w:eastAsia="zh-CN"/>
        </w:rPr>
        <w:t>。依据阶段性工作总结、工程质量报验表；施工进度计划、施工日志、施工现场安全管理制度及检查记录</w:t>
      </w:r>
      <w:r>
        <w:rPr>
          <w:rFonts w:hint="eastAsia" w:ascii="仿宋" w:hAnsi="仿宋" w:eastAsia="仿宋" w:cs="宋体"/>
          <w:color w:val="auto"/>
          <w:sz w:val="32"/>
          <w:szCs w:val="32"/>
          <w:highlight w:val="none"/>
          <w:lang w:val="en-US" w:eastAsia="zh-CN"/>
        </w:rPr>
        <w:t>等</w:t>
      </w:r>
      <w:r>
        <w:rPr>
          <w:rFonts w:hint="eastAsia" w:ascii="仿宋" w:hAnsi="仿宋" w:eastAsia="仿宋" w:cs="宋体"/>
          <w:color w:val="auto"/>
          <w:sz w:val="32"/>
          <w:szCs w:val="32"/>
          <w:highlight w:val="none"/>
          <w:lang w:eastAsia="zh-CN"/>
        </w:rPr>
        <w:t>,制度执行部分达成并有一定效果，但可研报告及初设批复工程量与实际招标工程量存在差异；监理招标控制价超过概算金额，代建合同</w:t>
      </w:r>
      <w:r>
        <w:rPr>
          <w:rFonts w:hint="eastAsia" w:ascii="仿宋" w:hAnsi="仿宋" w:eastAsia="仿宋" w:cs="宋体"/>
          <w:color w:val="auto"/>
          <w:sz w:val="32"/>
          <w:szCs w:val="32"/>
          <w:highlight w:val="none"/>
          <w:lang w:val="en-US" w:eastAsia="zh-CN"/>
        </w:rPr>
        <w:t>价</w:t>
      </w:r>
      <w:r>
        <w:rPr>
          <w:rFonts w:hint="eastAsia" w:ascii="仿宋" w:hAnsi="仿宋" w:eastAsia="仿宋" w:cs="宋体"/>
          <w:color w:val="auto"/>
          <w:sz w:val="32"/>
          <w:szCs w:val="32"/>
          <w:highlight w:val="none"/>
          <w:lang w:eastAsia="zh-CN"/>
        </w:rPr>
        <w:t>超过概算金额，采购制度及工程管理制度执行不够到位。</w:t>
      </w:r>
      <w:r>
        <w:rPr>
          <w:rFonts w:hint="eastAsia" w:ascii="仿宋" w:hAnsi="仿宋" w:eastAsia="仿宋" w:cs="宋体"/>
          <w:color w:val="auto"/>
          <w:sz w:val="32"/>
          <w:szCs w:val="32"/>
          <w:highlight w:val="none"/>
          <w:lang w:val="en-US" w:eastAsia="zh-CN"/>
        </w:rPr>
        <w:t>酌情按70%得分，得分为7.5*70%=5.25分。</w:t>
      </w:r>
    </w:p>
    <w:p w14:paraId="44F63DB9">
      <w:pPr>
        <w:numPr>
          <w:ilvl w:val="0"/>
          <w:numId w:val="0"/>
        </w:numPr>
        <w:autoSpaceDE w:val="0"/>
        <w:autoSpaceDN w:val="0"/>
        <w:spacing w:line="600" w:lineRule="exact"/>
        <w:ind w:firstLine="643" w:firstLineChars="200"/>
        <w:outlineLvl w:val="2"/>
        <w:rPr>
          <w:rFonts w:hint="eastAsia" w:ascii="楷体" w:hAnsi="楷体" w:eastAsia="楷体" w:cs="宋体"/>
          <w:b/>
          <w:color w:val="auto"/>
          <w:sz w:val="32"/>
          <w:szCs w:val="32"/>
          <w:highlight w:val="none"/>
          <w:lang w:val="en-US" w:eastAsia="zh-CN"/>
        </w:rPr>
      </w:pPr>
      <w:r>
        <w:rPr>
          <w:rFonts w:hint="eastAsia" w:ascii="楷体" w:hAnsi="楷体" w:eastAsia="楷体" w:cs="宋体"/>
          <w:b/>
          <w:color w:val="auto"/>
          <w:sz w:val="32"/>
          <w:szCs w:val="32"/>
          <w:highlight w:val="none"/>
          <w:lang w:val="en-US" w:eastAsia="zh-CN"/>
        </w:rPr>
        <w:t>2.产出目标</w:t>
      </w:r>
    </w:p>
    <w:p w14:paraId="019C8A3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2"/>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bidi="ar-SA"/>
        </w:rPr>
        <w:t>1</w:t>
      </w: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rPr>
        <w:t>改建居民供水管道50公里</w:t>
      </w:r>
    </w:p>
    <w:p w14:paraId="63698D75">
      <w:pPr>
        <w:numPr>
          <w:ilvl w:val="0"/>
          <w:numId w:val="0"/>
        </w:numPr>
        <w:autoSpaceDE w:val="0"/>
        <w:autoSpaceDN w:val="0"/>
        <w:spacing w:line="600" w:lineRule="exact"/>
        <w:ind w:firstLine="640" w:firstLineChars="200"/>
        <w:rPr>
          <w:rFonts w:hint="eastAsia" w:ascii="仿宋" w:hAnsi="仿宋" w:eastAsia="仿宋" w:cs="宋体"/>
          <w:color w:val="auto"/>
          <w:sz w:val="32"/>
          <w:szCs w:val="32"/>
          <w:highlight w:val="none"/>
          <w:lang w:eastAsia="zh-CN"/>
        </w:rPr>
      </w:pPr>
      <w:r>
        <w:rPr>
          <w:rFonts w:hint="eastAsia" w:ascii="仿宋" w:hAnsi="仿宋" w:eastAsia="仿宋" w:cs="宋体"/>
          <w:color w:val="auto"/>
          <w:sz w:val="32"/>
          <w:szCs w:val="32"/>
          <w:highlight w:val="none"/>
        </w:rPr>
        <w:t>指标目标值</w:t>
      </w:r>
      <w:r>
        <w:rPr>
          <w:rFonts w:hint="eastAsia" w:ascii="仿宋" w:hAnsi="仿宋" w:eastAsia="仿宋" w:cs="宋体"/>
          <w:color w:val="auto"/>
          <w:sz w:val="32"/>
          <w:szCs w:val="32"/>
          <w:highlight w:val="none"/>
          <w:lang w:val="en-US" w:eastAsia="zh-CN"/>
        </w:rPr>
        <w:t>完成</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51.46</w:t>
      </w:r>
      <w:r>
        <w:rPr>
          <w:rFonts w:hint="eastAsia" w:ascii="仿宋" w:hAnsi="仿宋" w:eastAsia="仿宋" w:cs="宋体"/>
          <w:color w:val="auto"/>
          <w:sz w:val="32"/>
          <w:szCs w:val="32"/>
          <w:highlight w:val="none"/>
          <w:lang w:eastAsia="zh-CN"/>
        </w:rPr>
        <w:t>公里。依据管道改造长度统计表、工程质量报验表、供水管道水压试验记录等，改建居民供水管道共</w:t>
      </w:r>
      <w:r>
        <w:rPr>
          <w:rFonts w:hint="eastAsia" w:ascii="仿宋" w:hAnsi="仿宋" w:eastAsia="仿宋" w:cs="宋体"/>
          <w:color w:val="auto"/>
          <w:sz w:val="32"/>
          <w:szCs w:val="32"/>
          <w:highlight w:val="none"/>
          <w:lang w:val="en-US" w:eastAsia="zh-CN"/>
        </w:rPr>
        <w:t>51.46</w:t>
      </w:r>
      <w:r>
        <w:rPr>
          <w:rFonts w:hint="eastAsia" w:ascii="仿宋" w:hAnsi="仿宋" w:eastAsia="仿宋" w:cs="宋体"/>
          <w:color w:val="auto"/>
          <w:sz w:val="32"/>
          <w:szCs w:val="32"/>
          <w:highlight w:val="none"/>
          <w:lang w:eastAsia="zh-CN"/>
        </w:rPr>
        <w:t>公里，</w:t>
      </w:r>
      <w:r>
        <w:rPr>
          <w:rFonts w:hint="eastAsia" w:ascii="仿宋" w:hAnsi="仿宋" w:eastAsia="仿宋" w:cs="宋体"/>
          <w:color w:val="auto"/>
          <w:sz w:val="32"/>
          <w:szCs w:val="32"/>
          <w:highlight w:val="none"/>
          <w:lang w:val="en-US" w:eastAsia="zh-CN"/>
        </w:rPr>
        <w:t>得分为5*100%=5.00分。</w:t>
      </w:r>
    </w:p>
    <w:p w14:paraId="49932AE3">
      <w:pPr>
        <w:numPr>
          <w:ilvl w:val="0"/>
          <w:numId w:val="0"/>
        </w:numPr>
        <w:autoSpaceDE w:val="0"/>
        <w:autoSpaceDN w:val="0"/>
        <w:spacing w:line="600" w:lineRule="exact"/>
        <w:ind w:firstLine="643" w:firstLineChars="200"/>
        <w:jc w:val="center"/>
        <w:rPr>
          <w:rFonts w:hint="default" w:ascii="仿宋" w:hAnsi="仿宋" w:eastAsia="仿宋" w:cs="宋体"/>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表2  镇湖街道改建居民供水管道明细表</w:t>
      </w:r>
    </w:p>
    <w:tbl>
      <w:tblPr>
        <w:tblStyle w:val="9"/>
        <w:tblW w:w="8500" w:type="dxa"/>
        <w:tblInd w:w="2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756"/>
        <w:gridCol w:w="3333"/>
        <w:gridCol w:w="2544"/>
        <w:gridCol w:w="1867"/>
      </w:tblGrid>
      <w:tr w14:paraId="3195A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1" w:hRule="atLeast"/>
        </w:trPr>
        <w:tc>
          <w:tcPr>
            <w:tcW w:w="756" w:type="dxa"/>
            <w:tcBorders>
              <w:tl2br w:val="nil"/>
              <w:tr2bl w:val="nil"/>
            </w:tcBorders>
            <w:shd w:val="clear" w:color="auto" w:fill="auto"/>
            <w:noWrap/>
            <w:vAlign w:val="center"/>
          </w:tcPr>
          <w:p w14:paraId="11244A1E">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序号</w:t>
            </w:r>
          </w:p>
        </w:tc>
        <w:tc>
          <w:tcPr>
            <w:tcW w:w="3333" w:type="dxa"/>
            <w:tcBorders>
              <w:tl2br w:val="nil"/>
              <w:tr2bl w:val="nil"/>
            </w:tcBorders>
            <w:shd w:val="clear" w:color="auto" w:fill="auto"/>
            <w:vAlign w:val="center"/>
          </w:tcPr>
          <w:p w14:paraId="08486E3D">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部位</w:t>
            </w:r>
          </w:p>
        </w:tc>
        <w:tc>
          <w:tcPr>
            <w:tcW w:w="2544" w:type="dxa"/>
            <w:tcBorders>
              <w:tl2br w:val="nil"/>
              <w:tr2bl w:val="nil"/>
            </w:tcBorders>
            <w:shd w:val="clear" w:color="auto" w:fill="auto"/>
            <w:noWrap/>
            <w:vAlign w:val="center"/>
          </w:tcPr>
          <w:p w14:paraId="167E88C9">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管道类型</w:t>
            </w:r>
          </w:p>
        </w:tc>
        <w:tc>
          <w:tcPr>
            <w:tcW w:w="1867" w:type="dxa"/>
            <w:tcBorders>
              <w:tl2br w:val="nil"/>
              <w:tr2bl w:val="nil"/>
            </w:tcBorders>
            <w:shd w:val="clear" w:color="auto" w:fill="auto"/>
            <w:noWrap/>
            <w:vAlign w:val="center"/>
          </w:tcPr>
          <w:p w14:paraId="7AE751B2">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长度（m）</w:t>
            </w:r>
          </w:p>
        </w:tc>
      </w:tr>
      <w:tr w14:paraId="0565D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756" w:type="dxa"/>
            <w:vMerge w:val="restart"/>
            <w:tcBorders>
              <w:tl2br w:val="nil"/>
              <w:tr2bl w:val="nil"/>
            </w:tcBorders>
            <w:shd w:val="clear" w:color="auto" w:fill="auto"/>
            <w:noWrap/>
            <w:vAlign w:val="center"/>
          </w:tcPr>
          <w:p w14:paraId="519EBB4D">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w:t>
            </w:r>
          </w:p>
        </w:tc>
        <w:tc>
          <w:tcPr>
            <w:tcW w:w="3333" w:type="dxa"/>
            <w:vMerge w:val="restart"/>
            <w:tcBorders>
              <w:tl2br w:val="nil"/>
              <w:tr2bl w:val="nil"/>
            </w:tcBorders>
            <w:shd w:val="clear" w:color="auto" w:fill="auto"/>
            <w:vAlign w:val="center"/>
          </w:tcPr>
          <w:p w14:paraId="571AA350">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马山-石套里</w:t>
            </w:r>
          </w:p>
        </w:tc>
        <w:tc>
          <w:tcPr>
            <w:tcW w:w="2544" w:type="dxa"/>
            <w:tcBorders>
              <w:tl2br w:val="nil"/>
              <w:tr2bl w:val="nil"/>
            </w:tcBorders>
            <w:shd w:val="clear" w:color="auto" w:fill="auto"/>
            <w:noWrap/>
            <w:vAlign w:val="center"/>
          </w:tcPr>
          <w:p w14:paraId="6B3659D6">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67" w:type="dxa"/>
            <w:tcBorders>
              <w:tl2br w:val="nil"/>
              <w:tr2bl w:val="nil"/>
            </w:tcBorders>
            <w:shd w:val="clear" w:color="auto" w:fill="auto"/>
            <w:noWrap/>
            <w:vAlign w:val="center"/>
          </w:tcPr>
          <w:p w14:paraId="6D73C011">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362</w:t>
            </w:r>
          </w:p>
        </w:tc>
      </w:tr>
      <w:tr w14:paraId="211CD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8" w:hRule="atLeast"/>
        </w:trPr>
        <w:tc>
          <w:tcPr>
            <w:tcW w:w="756" w:type="dxa"/>
            <w:vMerge w:val="continue"/>
            <w:tcBorders>
              <w:tl2br w:val="nil"/>
              <w:tr2bl w:val="nil"/>
            </w:tcBorders>
            <w:shd w:val="clear" w:color="auto" w:fill="auto"/>
            <w:noWrap/>
            <w:vAlign w:val="center"/>
          </w:tcPr>
          <w:p w14:paraId="17516108">
            <w:pPr>
              <w:jc w:val="center"/>
              <w:rPr>
                <w:rFonts w:hint="eastAsia" w:ascii="仿宋" w:hAnsi="仿宋" w:eastAsia="仿宋" w:cs="仿宋"/>
                <w:i w:val="0"/>
                <w:iCs w:val="0"/>
                <w:color w:val="000000"/>
                <w:sz w:val="22"/>
                <w:szCs w:val="22"/>
                <w:highlight w:val="none"/>
                <w:u w:val="none"/>
              </w:rPr>
            </w:pPr>
          </w:p>
        </w:tc>
        <w:tc>
          <w:tcPr>
            <w:tcW w:w="3333" w:type="dxa"/>
            <w:vMerge w:val="continue"/>
            <w:tcBorders>
              <w:tl2br w:val="nil"/>
              <w:tr2bl w:val="nil"/>
            </w:tcBorders>
            <w:shd w:val="clear" w:color="auto" w:fill="auto"/>
            <w:vAlign w:val="center"/>
          </w:tcPr>
          <w:p w14:paraId="7CD51488">
            <w:pPr>
              <w:jc w:val="left"/>
              <w:rPr>
                <w:rFonts w:hint="eastAsia" w:ascii="仿宋" w:hAnsi="仿宋" w:eastAsia="仿宋" w:cs="仿宋"/>
                <w:i w:val="0"/>
                <w:iCs w:val="0"/>
                <w:color w:val="000000"/>
                <w:sz w:val="22"/>
                <w:szCs w:val="22"/>
                <w:highlight w:val="none"/>
                <w:u w:val="none"/>
              </w:rPr>
            </w:pPr>
          </w:p>
        </w:tc>
        <w:tc>
          <w:tcPr>
            <w:tcW w:w="2544" w:type="dxa"/>
            <w:tcBorders>
              <w:tl2br w:val="nil"/>
              <w:tr2bl w:val="nil"/>
            </w:tcBorders>
            <w:shd w:val="clear" w:color="auto" w:fill="auto"/>
            <w:noWrap/>
            <w:vAlign w:val="center"/>
          </w:tcPr>
          <w:p w14:paraId="1FA3DF79">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25202858">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1300</w:t>
            </w:r>
          </w:p>
        </w:tc>
      </w:tr>
      <w:tr w14:paraId="78670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5" w:hRule="atLeast"/>
        </w:trPr>
        <w:tc>
          <w:tcPr>
            <w:tcW w:w="756" w:type="dxa"/>
            <w:vMerge w:val="restart"/>
            <w:tcBorders>
              <w:tl2br w:val="nil"/>
              <w:tr2bl w:val="nil"/>
            </w:tcBorders>
            <w:shd w:val="clear" w:color="auto" w:fill="auto"/>
            <w:noWrap/>
            <w:vAlign w:val="center"/>
          </w:tcPr>
          <w:p w14:paraId="662062D8">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w:t>
            </w:r>
          </w:p>
        </w:tc>
        <w:tc>
          <w:tcPr>
            <w:tcW w:w="3333" w:type="dxa"/>
            <w:vMerge w:val="restart"/>
            <w:tcBorders>
              <w:tl2br w:val="nil"/>
              <w:tr2bl w:val="nil"/>
            </w:tcBorders>
            <w:shd w:val="clear" w:color="auto" w:fill="auto"/>
            <w:vAlign w:val="center"/>
          </w:tcPr>
          <w:p w14:paraId="17F4C262">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市桥-吴家山</w:t>
            </w:r>
          </w:p>
        </w:tc>
        <w:tc>
          <w:tcPr>
            <w:tcW w:w="2544" w:type="dxa"/>
            <w:tcBorders>
              <w:tl2br w:val="nil"/>
              <w:tr2bl w:val="nil"/>
            </w:tcBorders>
            <w:shd w:val="clear" w:color="auto" w:fill="auto"/>
            <w:noWrap/>
            <w:vAlign w:val="center"/>
          </w:tcPr>
          <w:p w14:paraId="39CE0C6B">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67" w:type="dxa"/>
            <w:tcBorders>
              <w:tl2br w:val="nil"/>
              <w:tr2bl w:val="nil"/>
            </w:tcBorders>
            <w:shd w:val="clear" w:color="auto" w:fill="auto"/>
            <w:noWrap/>
            <w:vAlign w:val="center"/>
          </w:tcPr>
          <w:p w14:paraId="777FA3ED">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283</w:t>
            </w:r>
          </w:p>
        </w:tc>
      </w:tr>
      <w:tr w14:paraId="73088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756" w:type="dxa"/>
            <w:vMerge w:val="continue"/>
            <w:tcBorders>
              <w:tl2br w:val="nil"/>
              <w:tr2bl w:val="nil"/>
            </w:tcBorders>
            <w:shd w:val="clear" w:color="auto" w:fill="auto"/>
            <w:noWrap/>
            <w:vAlign w:val="center"/>
          </w:tcPr>
          <w:p w14:paraId="3281A878">
            <w:pPr>
              <w:jc w:val="center"/>
              <w:rPr>
                <w:rFonts w:hint="eastAsia" w:ascii="仿宋" w:hAnsi="仿宋" w:eastAsia="仿宋" w:cs="仿宋"/>
                <w:i w:val="0"/>
                <w:iCs w:val="0"/>
                <w:color w:val="000000"/>
                <w:sz w:val="22"/>
                <w:szCs w:val="22"/>
                <w:highlight w:val="none"/>
                <w:u w:val="none"/>
              </w:rPr>
            </w:pPr>
          </w:p>
        </w:tc>
        <w:tc>
          <w:tcPr>
            <w:tcW w:w="3333" w:type="dxa"/>
            <w:vMerge w:val="continue"/>
            <w:tcBorders>
              <w:tl2br w:val="nil"/>
              <w:tr2bl w:val="nil"/>
            </w:tcBorders>
            <w:shd w:val="clear" w:color="auto" w:fill="auto"/>
            <w:vAlign w:val="center"/>
          </w:tcPr>
          <w:p w14:paraId="7799361B">
            <w:pPr>
              <w:jc w:val="left"/>
              <w:rPr>
                <w:rFonts w:hint="eastAsia" w:ascii="仿宋" w:hAnsi="仿宋" w:eastAsia="仿宋" w:cs="仿宋"/>
                <w:i w:val="0"/>
                <w:iCs w:val="0"/>
                <w:color w:val="000000"/>
                <w:sz w:val="22"/>
                <w:szCs w:val="22"/>
                <w:highlight w:val="none"/>
                <w:u w:val="none"/>
              </w:rPr>
            </w:pPr>
          </w:p>
        </w:tc>
        <w:tc>
          <w:tcPr>
            <w:tcW w:w="2544" w:type="dxa"/>
            <w:tcBorders>
              <w:tl2br w:val="nil"/>
              <w:tr2bl w:val="nil"/>
            </w:tcBorders>
            <w:shd w:val="clear" w:color="auto" w:fill="auto"/>
            <w:noWrap/>
            <w:vAlign w:val="center"/>
          </w:tcPr>
          <w:p w14:paraId="47243E24">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6FC5A5B6">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2270</w:t>
            </w:r>
          </w:p>
        </w:tc>
      </w:tr>
      <w:tr w14:paraId="54CD3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56" w:type="dxa"/>
            <w:vMerge w:val="restart"/>
            <w:tcBorders>
              <w:tl2br w:val="nil"/>
              <w:tr2bl w:val="nil"/>
            </w:tcBorders>
            <w:shd w:val="clear" w:color="auto" w:fill="auto"/>
            <w:noWrap/>
            <w:vAlign w:val="center"/>
          </w:tcPr>
          <w:p w14:paraId="531A0987">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3</w:t>
            </w:r>
          </w:p>
        </w:tc>
        <w:tc>
          <w:tcPr>
            <w:tcW w:w="3333" w:type="dxa"/>
            <w:vMerge w:val="restart"/>
            <w:tcBorders>
              <w:tl2br w:val="nil"/>
              <w:tr2bl w:val="nil"/>
            </w:tcBorders>
            <w:shd w:val="clear" w:color="auto" w:fill="auto"/>
            <w:vAlign w:val="center"/>
          </w:tcPr>
          <w:p w14:paraId="4DCEAB82">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西村社区-青石皮桥</w:t>
            </w:r>
          </w:p>
        </w:tc>
        <w:tc>
          <w:tcPr>
            <w:tcW w:w="2544" w:type="dxa"/>
            <w:tcBorders>
              <w:tl2br w:val="nil"/>
              <w:tr2bl w:val="nil"/>
            </w:tcBorders>
            <w:shd w:val="clear" w:color="auto" w:fill="auto"/>
            <w:noWrap/>
            <w:vAlign w:val="center"/>
          </w:tcPr>
          <w:p w14:paraId="42BD6DAF">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67" w:type="dxa"/>
            <w:tcBorders>
              <w:tl2br w:val="nil"/>
              <w:tr2bl w:val="nil"/>
            </w:tcBorders>
            <w:shd w:val="clear" w:color="auto" w:fill="auto"/>
            <w:noWrap/>
            <w:vAlign w:val="center"/>
          </w:tcPr>
          <w:p w14:paraId="43A4FBB3">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320</w:t>
            </w:r>
          </w:p>
        </w:tc>
      </w:tr>
      <w:tr w14:paraId="7EC56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756" w:type="dxa"/>
            <w:vMerge w:val="continue"/>
            <w:tcBorders>
              <w:tl2br w:val="nil"/>
              <w:tr2bl w:val="nil"/>
            </w:tcBorders>
            <w:shd w:val="clear" w:color="auto" w:fill="auto"/>
            <w:noWrap/>
            <w:vAlign w:val="center"/>
          </w:tcPr>
          <w:p w14:paraId="2C001271">
            <w:pPr>
              <w:jc w:val="center"/>
              <w:rPr>
                <w:rFonts w:hint="eastAsia" w:ascii="仿宋" w:hAnsi="仿宋" w:eastAsia="仿宋" w:cs="仿宋"/>
                <w:i w:val="0"/>
                <w:iCs w:val="0"/>
                <w:color w:val="000000"/>
                <w:sz w:val="22"/>
                <w:szCs w:val="22"/>
                <w:highlight w:val="none"/>
                <w:u w:val="none"/>
              </w:rPr>
            </w:pPr>
          </w:p>
        </w:tc>
        <w:tc>
          <w:tcPr>
            <w:tcW w:w="3333" w:type="dxa"/>
            <w:vMerge w:val="continue"/>
            <w:tcBorders>
              <w:tl2br w:val="nil"/>
              <w:tr2bl w:val="nil"/>
            </w:tcBorders>
            <w:shd w:val="clear" w:color="auto" w:fill="auto"/>
            <w:vAlign w:val="center"/>
          </w:tcPr>
          <w:p w14:paraId="08F226A7">
            <w:pPr>
              <w:jc w:val="left"/>
              <w:rPr>
                <w:rFonts w:hint="eastAsia" w:ascii="仿宋" w:hAnsi="仿宋" w:eastAsia="仿宋" w:cs="仿宋"/>
                <w:i w:val="0"/>
                <w:iCs w:val="0"/>
                <w:color w:val="000000"/>
                <w:sz w:val="22"/>
                <w:szCs w:val="22"/>
                <w:highlight w:val="none"/>
                <w:u w:val="none"/>
              </w:rPr>
            </w:pPr>
          </w:p>
        </w:tc>
        <w:tc>
          <w:tcPr>
            <w:tcW w:w="2544" w:type="dxa"/>
            <w:tcBorders>
              <w:tl2br w:val="nil"/>
              <w:tr2bl w:val="nil"/>
            </w:tcBorders>
            <w:shd w:val="clear" w:color="auto" w:fill="auto"/>
            <w:noWrap/>
            <w:vAlign w:val="center"/>
          </w:tcPr>
          <w:p w14:paraId="2A429AE6">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65327FE2">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1390</w:t>
            </w:r>
          </w:p>
        </w:tc>
      </w:tr>
      <w:tr w14:paraId="11E9B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 w:hRule="atLeast"/>
        </w:trPr>
        <w:tc>
          <w:tcPr>
            <w:tcW w:w="756" w:type="dxa"/>
            <w:tcBorders>
              <w:tl2br w:val="nil"/>
              <w:tr2bl w:val="nil"/>
            </w:tcBorders>
            <w:shd w:val="clear" w:color="auto" w:fill="auto"/>
            <w:noWrap/>
            <w:vAlign w:val="center"/>
          </w:tcPr>
          <w:p w14:paraId="6A106E1B">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4</w:t>
            </w:r>
          </w:p>
        </w:tc>
        <w:tc>
          <w:tcPr>
            <w:tcW w:w="3333" w:type="dxa"/>
            <w:tcBorders>
              <w:tl2br w:val="nil"/>
              <w:tr2bl w:val="nil"/>
            </w:tcBorders>
            <w:shd w:val="clear" w:color="auto" w:fill="auto"/>
            <w:vAlign w:val="center"/>
          </w:tcPr>
          <w:p w14:paraId="399D3DA4">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新桥（非保留）-望河桥</w:t>
            </w:r>
          </w:p>
        </w:tc>
        <w:tc>
          <w:tcPr>
            <w:tcW w:w="2544" w:type="dxa"/>
            <w:tcBorders>
              <w:tl2br w:val="nil"/>
              <w:tr2bl w:val="nil"/>
            </w:tcBorders>
            <w:shd w:val="clear" w:color="auto" w:fill="auto"/>
            <w:noWrap/>
            <w:vAlign w:val="center"/>
          </w:tcPr>
          <w:p w14:paraId="247150C9">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383683FE">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1110</w:t>
            </w:r>
          </w:p>
        </w:tc>
      </w:tr>
      <w:tr w14:paraId="5B794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trPr>
        <w:tc>
          <w:tcPr>
            <w:tcW w:w="756" w:type="dxa"/>
            <w:tcBorders>
              <w:tl2br w:val="nil"/>
              <w:tr2bl w:val="nil"/>
            </w:tcBorders>
            <w:shd w:val="clear" w:color="auto" w:fill="auto"/>
            <w:noWrap/>
            <w:vAlign w:val="center"/>
          </w:tcPr>
          <w:p w14:paraId="2DFCC38E">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5</w:t>
            </w:r>
          </w:p>
        </w:tc>
        <w:tc>
          <w:tcPr>
            <w:tcW w:w="3333" w:type="dxa"/>
            <w:tcBorders>
              <w:tl2br w:val="nil"/>
              <w:tr2bl w:val="nil"/>
            </w:tcBorders>
            <w:shd w:val="clear" w:color="auto" w:fill="auto"/>
            <w:vAlign w:val="center"/>
          </w:tcPr>
          <w:p w14:paraId="27913FE2">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秀岸（非保留）-木桥头</w:t>
            </w:r>
          </w:p>
        </w:tc>
        <w:tc>
          <w:tcPr>
            <w:tcW w:w="2544" w:type="dxa"/>
            <w:tcBorders>
              <w:tl2br w:val="nil"/>
              <w:tr2bl w:val="nil"/>
            </w:tcBorders>
            <w:shd w:val="clear" w:color="auto" w:fill="auto"/>
            <w:noWrap/>
            <w:vAlign w:val="center"/>
          </w:tcPr>
          <w:p w14:paraId="666901C2">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3CD49B2E">
            <w:pPr>
              <w:keepNext w:val="0"/>
              <w:keepLines w:val="0"/>
              <w:widowControl/>
              <w:suppressLineNumbers w:val="0"/>
              <w:jc w:val="center"/>
              <w:textAlignment w:val="center"/>
              <w:rPr>
                <w:rFonts w:hint="default" w:ascii="仿宋" w:hAnsi="仿宋" w:eastAsia="仿宋" w:cs="仿宋"/>
                <w:i w:val="0"/>
                <w:iCs w:val="0"/>
                <w:color w:val="000000"/>
                <w:sz w:val="22"/>
                <w:szCs w:val="22"/>
                <w:highlight w:val="none"/>
                <w:u w:val="none"/>
                <w:lang w:val="en-US"/>
              </w:rPr>
            </w:pPr>
            <w:r>
              <w:rPr>
                <w:rFonts w:hint="eastAsia" w:ascii="仿宋" w:hAnsi="仿宋" w:eastAsia="仿宋" w:cs="仿宋"/>
                <w:i w:val="0"/>
                <w:iCs w:val="0"/>
                <w:color w:val="000000"/>
                <w:kern w:val="0"/>
                <w:sz w:val="22"/>
                <w:szCs w:val="22"/>
                <w:highlight w:val="none"/>
                <w:u w:val="none"/>
                <w:lang w:val="en-US" w:eastAsia="zh-CN" w:bidi="ar"/>
              </w:rPr>
              <w:t>1110</w:t>
            </w:r>
          </w:p>
        </w:tc>
      </w:tr>
      <w:tr w14:paraId="0687A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756" w:type="dxa"/>
            <w:vMerge w:val="restart"/>
            <w:tcBorders>
              <w:tl2br w:val="nil"/>
              <w:tr2bl w:val="nil"/>
            </w:tcBorders>
            <w:shd w:val="clear" w:color="auto" w:fill="auto"/>
            <w:vAlign w:val="center"/>
          </w:tcPr>
          <w:p w14:paraId="3EEE3E25">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6</w:t>
            </w:r>
          </w:p>
        </w:tc>
        <w:tc>
          <w:tcPr>
            <w:tcW w:w="3333" w:type="dxa"/>
            <w:vMerge w:val="restart"/>
            <w:tcBorders>
              <w:tl2br w:val="nil"/>
              <w:tr2bl w:val="nil"/>
            </w:tcBorders>
            <w:shd w:val="clear" w:color="auto" w:fill="auto"/>
            <w:vAlign w:val="center"/>
          </w:tcPr>
          <w:p w14:paraId="6099CE8D">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秀岸-市干桥、大宅基</w:t>
            </w:r>
          </w:p>
        </w:tc>
        <w:tc>
          <w:tcPr>
            <w:tcW w:w="2544" w:type="dxa"/>
            <w:tcBorders>
              <w:tl2br w:val="nil"/>
              <w:tr2bl w:val="nil"/>
            </w:tcBorders>
            <w:shd w:val="clear" w:color="auto" w:fill="auto"/>
            <w:noWrap/>
            <w:vAlign w:val="center"/>
          </w:tcPr>
          <w:p w14:paraId="53D83416">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67" w:type="dxa"/>
            <w:tcBorders>
              <w:tl2br w:val="nil"/>
              <w:tr2bl w:val="nil"/>
            </w:tcBorders>
            <w:shd w:val="clear" w:color="auto" w:fill="auto"/>
            <w:noWrap/>
            <w:vAlign w:val="center"/>
          </w:tcPr>
          <w:p w14:paraId="5994A58C">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highlight w:val="none"/>
                <w:u w:val="none"/>
              </w:rPr>
            </w:pPr>
            <w:r>
              <w:rPr>
                <w:rFonts w:hint="eastAsia" w:ascii="仿宋" w:hAnsi="仿宋" w:eastAsia="仿宋" w:cs="仿宋"/>
                <w:b w:val="0"/>
                <w:bCs w:val="0"/>
                <w:i w:val="0"/>
                <w:iCs w:val="0"/>
                <w:color w:val="000000"/>
                <w:kern w:val="0"/>
                <w:sz w:val="22"/>
                <w:szCs w:val="22"/>
                <w:highlight w:val="none"/>
                <w:u w:val="none"/>
                <w:lang w:val="en-US" w:eastAsia="zh-CN" w:bidi="ar"/>
              </w:rPr>
              <w:t>690</w:t>
            </w:r>
          </w:p>
        </w:tc>
      </w:tr>
      <w:tr w14:paraId="750BB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756" w:type="dxa"/>
            <w:vMerge w:val="continue"/>
            <w:tcBorders>
              <w:tl2br w:val="nil"/>
              <w:tr2bl w:val="nil"/>
            </w:tcBorders>
            <w:shd w:val="clear" w:color="auto" w:fill="auto"/>
            <w:vAlign w:val="center"/>
          </w:tcPr>
          <w:p w14:paraId="63657BF3">
            <w:pPr>
              <w:jc w:val="center"/>
              <w:rPr>
                <w:rFonts w:hint="eastAsia" w:ascii="仿宋" w:hAnsi="仿宋" w:eastAsia="仿宋" w:cs="仿宋"/>
                <w:i w:val="0"/>
                <w:iCs w:val="0"/>
                <w:color w:val="000000"/>
                <w:sz w:val="22"/>
                <w:szCs w:val="22"/>
                <w:highlight w:val="none"/>
                <w:u w:val="none"/>
              </w:rPr>
            </w:pPr>
          </w:p>
        </w:tc>
        <w:tc>
          <w:tcPr>
            <w:tcW w:w="3333" w:type="dxa"/>
            <w:vMerge w:val="continue"/>
            <w:tcBorders>
              <w:tl2br w:val="nil"/>
              <w:tr2bl w:val="nil"/>
            </w:tcBorders>
            <w:shd w:val="clear" w:color="auto" w:fill="auto"/>
            <w:vAlign w:val="center"/>
          </w:tcPr>
          <w:p w14:paraId="38B4BAF3">
            <w:pPr>
              <w:jc w:val="left"/>
              <w:rPr>
                <w:rFonts w:hint="eastAsia" w:ascii="仿宋" w:hAnsi="仿宋" w:eastAsia="仿宋" w:cs="仿宋"/>
                <w:i w:val="0"/>
                <w:iCs w:val="0"/>
                <w:color w:val="000000"/>
                <w:sz w:val="22"/>
                <w:szCs w:val="22"/>
                <w:highlight w:val="none"/>
                <w:u w:val="none"/>
              </w:rPr>
            </w:pPr>
          </w:p>
        </w:tc>
        <w:tc>
          <w:tcPr>
            <w:tcW w:w="2544" w:type="dxa"/>
            <w:tcBorders>
              <w:tl2br w:val="nil"/>
              <w:tr2bl w:val="nil"/>
            </w:tcBorders>
            <w:shd w:val="clear" w:color="auto" w:fill="auto"/>
            <w:noWrap/>
            <w:vAlign w:val="center"/>
          </w:tcPr>
          <w:p w14:paraId="408337E1">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6A81F409">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highlight w:val="none"/>
                <w:u w:val="none"/>
              </w:rPr>
            </w:pPr>
            <w:r>
              <w:rPr>
                <w:rFonts w:hint="eastAsia" w:ascii="仿宋" w:hAnsi="仿宋" w:eastAsia="仿宋" w:cs="仿宋"/>
                <w:b w:val="0"/>
                <w:bCs w:val="0"/>
                <w:i w:val="0"/>
                <w:iCs w:val="0"/>
                <w:color w:val="000000"/>
                <w:kern w:val="0"/>
                <w:sz w:val="22"/>
                <w:szCs w:val="22"/>
                <w:highlight w:val="none"/>
                <w:u w:val="none"/>
                <w:lang w:val="en-US" w:eastAsia="zh-CN" w:bidi="ar"/>
              </w:rPr>
              <w:t>2500</w:t>
            </w:r>
          </w:p>
        </w:tc>
      </w:tr>
      <w:tr w14:paraId="550F8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0" w:hRule="atLeast"/>
        </w:trPr>
        <w:tc>
          <w:tcPr>
            <w:tcW w:w="756" w:type="dxa"/>
            <w:vMerge w:val="restart"/>
            <w:tcBorders>
              <w:tl2br w:val="nil"/>
              <w:tr2bl w:val="nil"/>
            </w:tcBorders>
            <w:shd w:val="clear" w:color="auto" w:fill="auto"/>
            <w:vAlign w:val="center"/>
          </w:tcPr>
          <w:p w14:paraId="4B9FF7E6">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7</w:t>
            </w:r>
          </w:p>
        </w:tc>
        <w:tc>
          <w:tcPr>
            <w:tcW w:w="3333" w:type="dxa"/>
            <w:vMerge w:val="restart"/>
            <w:tcBorders>
              <w:tl2br w:val="nil"/>
              <w:tr2bl w:val="nil"/>
            </w:tcBorders>
            <w:shd w:val="clear" w:color="auto" w:fill="auto"/>
            <w:vAlign w:val="center"/>
          </w:tcPr>
          <w:p w14:paraId="37BDCA8B">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市桥-东干里</w:t>
            </w:r>
          </w:p>
        </w:tc>
        <w:tc>
          <w:tcPr>
            <w:tcW w:w="2544" w:type="dxa"/>
            <w:tcBorders>
              <w:tl2br w:val="nil"/>
              <w:tr2bl w:val="nil"/>
            </w:tcBorders>
            <w:shd w:val="clear" w:color="auto" w:fill="auto"/>
            <w:noWrap/>
            <w:vAlign w:val="center"/>
          </w:tcPr>
          <w:p w14:paraId="3BB4AAB5">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67" w:type="dxa"/>
            <w:tcBorders>
              <w:tl2br w:val="nil"/>
              <w:tr2bl w:val="nil"/>
            </w:tcBorders>
            <w:shd w:val="clear" w:color="auto" w:fill="auto"/>
            <w:noWrap/>
            <w:vAlign w:val="center"/>
          </w:tcPr>
          <w:p w14:paraId="44F6491B">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highlight w:val="none"/>
                <w:u w:val="none"/>
              </w:rPr>
            </w:pPr>
            <w:r>
              <w:rPr>
                <w:rFonts w:hint="eastAsia" w:ascii="仿宋" w:hAnsi="仿宋" w:eastAsia="仿宋" w:cs="仿宋"/>
                <w:b w:val="0"/>
                <w:bCs w:val="0"/>
                <w:i w:val="0"/>
                <w:iCs w:val="0"/>
                <w:color w:val="000000"/>
                <w:kern w:val="0"/>
                <w:sz w:val="22"/>
                <w:szCs w:val="22"/>
                <w:highlight w:val="none"/>
                <w:u w:val="none"/>
                <w:lang w:val="en-US" w:eastAsia="zh-CN" w:bidi="ar"/>
              </w:rPr>
              <w:t>800</w:t>
            </w:r>
          </w:p>
        </w:tc>
      </w:tr>
      <w:tr w14:paraId="72C45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756" w:type="dxa"/>
            <w:vMerge w:val="continue"/>
            <w:tcBorders>
              <w:tl2br w:val="nil"/>
              <w:tr2bl w:val="nil"/>
            </w:tcBorders>
            <w:shd w:val="clear" w:color="auto" w:fill="auto"/>
            <w:vAlign w:val="center"/>
          </w:tcPr>
          <w:p w14:paraId="51EF8E5C">
            <w:pPr>
              <w:jc w:val="center"/>
              <w:rPr>
                <w:rFonts w:hint="eastAsia" w:ascii="仿宋" w:hAnsi="仿宋" w:eastAsia="仿宋" w:cs="仿宋"/>
                <w:i w:val="0"/>
                <w:iCs w:val="0"/>
                <w:color w:val="000000"/>
                <w:sz w:val="22"/>
                <w:szCs w:val="22"/>
                <w:highlight w:val="none"/>
                <w:u w:val="none"/>
              </w:rPr>
            </w:pPr>
          </w:p>
        </w:tc>
        <w:tc>
          <w:tcPr>
            <w:tcW w:w="3333" w:type="dxa"/>
            <w:vMerge w:val="continue"/>
            <w:tcBorders>
              <w:tl2br w:val="nil"/>
              <w:tr2bl w:val="nil"/>
            </w:tcBorders>
            <w:shd w:val="clear" w:color="auto" w:fill="auto"/>
            <w:vAlign w:val="center"/>
          </w:tcPr>
          <w:p w14:paraId="3C033614">
            <w:pPr>
              <w:jc w:val="left"/>
              <w:rPr>
                <w:rFonts w:hint="eastAsia" w:ascii="仿宋" w:hAnsi="仿宋" w:eastAsia="仿宋" w:cs="仿宋"/>
                <w:i w:val="0"/>
                <w:iCs w:val="0"/>
                <w:color w:val="000000"/>
                <w:sz w:val="22"/>
                <w:szCs w:val="22"/>
                <w:highlight w:val="none"/>
                <w:u w:val="none"/>
              </w:rPr>
            </w:pPr>
          </w:p>
        </w:tc>
        <w:tc>
          <w:tcPr>
            <w:tcW w:w="2544" w:type="dxa"/>
            <w:tcBorders>
              <w:tl2br w:val="nil"/>
              <w:tr2bl w:val="nil"/>
            </w:tcBorders>
            <w:shd w:val="clear" w:color="auto" w:fill="auto"/>
            <w:noWrap/>
            <w:vAlign w:val="center"/>
          </w:tcPr>
          <w:p w14:paraId="2CFECB37">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719398B2">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highlight w:val="none"/>
                <w:u w:val="none"/>
              </w:rPr>
            </w:pPr>
            <w:r>
              <w:rPr>
                <w:rFonts w:hint="eastAsia" w:ascii="仿宋" w:hAnsi="仿宋" w:eastAsia="仿宋" w:cs="仿宋"/>
                <w:b w:val="0"/>
                <w:bCs w:val="0"/>
                <w:i w:val="0"/>
                <w:iCs w:val="0"/>
                <w:color w:val="000000"/>
                <w:kern w:val="0"/>
                <w:sz w:val="22"/>
                <w:szCs w:val="22"/>
                <w:highlight w:val="none"/>
                <w:u w:val="none"/>
                <w:lang w:val="en-US" w:eastAsia="zh-CN" w:bidi="ar"/>
              </w:rPr>
              <w:t>1380</w:t>
            </w:r>
          </w:p>
        </w:tc>
      </w:tr>
      <w:tr w14:paraId="17848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7" w:hRule="atLeast"/>
        </w:trPr>
        <w:tc>
          <w:tcPr>
            <w:tcW w:w="756" w:type="dxa"/>
            <w:tcBorders>
              <w:tl2br w:val="nil"/>
              <w:tr2bl w:val="nil"/>
            </w:tcBorders>
            <w:shd w:val="clear" w:color="auto" w:fill="auto"/>
            <w:vAlign w:val="center"/>
          </w:tcPr>
          <w:p w14:paraId="0E34D077">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8</w:t>
            </w:r>
          </w:p>
        </w:tc>
        <w:tc>
          <w:tcPr>
            <w:tcW w:w="3333" w:type="dxa"/>
            <w:tcBorders>
              <w:tl2br w:val="nil"/>
              <w:tr2bl w:val="nil"/>
            </w:tcBorders>
            <w:shd w:val="clear" w:color="auto" w:fill="auto"/>
            <w:vAlign w:val="center"/>
          </w:tcPr>
          <w:p w14:paraId="6DBBB958">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市桥-市桥（新增）</w:t>
            </w:r>
          </w:p>
        </w:tc>
        <w:tc>
          <w:tcPr>
            <w:tcW w:w="2544" w:type="dxa"/>
            <w:tcBorders>
              <w:tl2br w:val="nil"/>
              <w:tr2bl w:val="nil"/>
            </w:tcBorders>
            <w:shd w:val="clear" w:color="auto" w:fill="auto"/>
            <w:noWrap/>
            <w:vAlign w:val="center"/>
          </w:tcPr>
          <w:p w14:paraId="7EDECE78">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69434ABE">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highlight w:val="none"/>
                <w:u w:val="none"/>
              </w:rPr>
            </w:pPr>
            <w:r>
              <w:rPr>
                <w:rFonts w:hint="eastAsia" w:ascii="仿宋" w:hAnsi="仿宋" w:eastAsia="仿宋" w:cs="仿宋"/>
                <w:b w:val="0"/>
                <w:bCs w:val="0"/>
                <w:i w:val="0"/>
                <w:iCs w:val="0"/>
                <w:color w:val="000000"/>
                <w:kern w:val="0"/>
                <w:sz w:val="22"/>
                <w:szCs w:val="22"/>
                <w:highlight w:val="none"/>
                <w:u w:val="none"/>
                <w:lang w:val="en-US" w:eastAsia="zh-CN" w:bidi="ar"/>
              </w:rPr>
              <w:t>1000</w:t>
            </w:r>
          </w:p>
        </w:tc>
      </w:tr>
      <w:tr w14:paraId="5C1DF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756" w:type="dxa"/>
            <w:tcBorders>
              <w:tl2br w:val="nil"/>
              <w:tr2bl w:val="nil"/>
            </w:tcBorders>
            <w:shd w:val="clear" w:color="auto" w:fill="auto"/>
            <w:vAlign w:val="center"/>
          </w:tcPr>
          <w:p w14:paraId="02F4494E">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9</w:t>
            </w:r>
          </w:p>
        </w:tc>
        <w:tc>
          <w:tcPr>
            <w:tcW w:w="3333" w:type="dxa"/>
            <w:tcBorders>
              <w:tl2br w:val="nil"/>
              <w:tr2bl w:val="nil"/>
            </w:tcBorders>
            <w:shd w:val="clear" w:color="auto" w:fill="auto"/>
            <w:vAlign w:val="center"/>
          </w:tcPr>
          <w:p w14:paraId="0D582983">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市桥-东城</w:t>
            </w:r>
          </w:p>
        </w:tc>
        <w:tc>
          <w:tcPr>
            <w:tcW w:w="2544" w:type="dxa"/>
            <w:tcBorders>
              <w:tl2br w:val="nil"/>
              <w:tr2bl w:val="nil"/>
            </w:tcBorders>
            <w:shd w:val="clear" w:color="auto" w:fill="auto"/>
            <w:noWrap/>
            <w:vAlign w:val="center"/>
          </w:tcPr>
          <w:p w14:paraId="02B8A6B7">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184FADE6">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highlight w:val="none"/>
                <w:u w:val="none"/>
              </w:rPr>
            </w:pPr>
            <w:r>
              <w:rPr>
                <w:rFonts w:hint="eastAsia" w:ascii="仿宋" w:hAnsi="仿宋" w:eastAsia="仿宋" w:cs="仿宋"/>
                <w:b w:val="0"/>
                <w:bCs w:val="0"/>
                <w:i w:val="0"/>
                <w:iCs w:val="0"/>
                <w:color w:val="000000"/>
                <w:kern w:val="0"/>
                <w:sz w:val="22"/>
                <w:szCs w:val="22"/>
                <w:highlight w:val="none"/>
                <w:u w:val="none"/>
                <w:lang w:val="en-US" w:eastAsia="zh-CN" w:bidi="ar"/>
              </w:rPr>
              <w:t>8700</w:t>
            </w:r>
          </w:p>
        </w:tc>
      </w:tr>
      <w:tr w14:paraId="562E6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trPr>
        <w:tc>
          <w:tcPr>
            <w:tcW w:w="756" w:type="dxa"/>
            <w:vMerge w:val="restart"/>
            <w:tcBorders>
              <w:tl2br w:val="nil"/>
              <w:tr2bl w:val="nil"/>
            </w:tcBorders>
            <w:shd w:val="clear" w:color="auto" w:fill="auto"/>
            <w:vAlign w:val="center"/>
          </w:tcPr>
          <w:p w14:paraId="5EFC3837">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10</w:t>
            </w:r>
          </w:p>
        </w:tc>
        <w:tc>
          <w:tcPr>
            <w:tcW w:w="3333" w:type="dxa"/>
            <w:vMerge w:val="restart"/>
            <w:tcBorders>
              <w:tl2br w:val="nil"/>
              <w:tr2bl w:val="nil"/>
            </w:tcBorders>
            <w:shd w:val="clear" w:color="auto" w:fill="auto"/>
            <w:vAlign w:val="center"/>
          </w:tcPr>
          <w:p w14:paraId="1D50FD37">
            <w:pPr>
              <w:keepNext w:val="0"/>
              <w:keepLines w:val="0"/>
              <w:widowControl/>
              <w:suppressLineNumbers w:val="0"/>
              <w:jc w:val="left"/>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镇湖片区新增区域</w:t>
            </w:r>
          </w:p>
        </w:tc>
        <w:tc>
          <w:tcPr>
            <w:tcW w:w="2544" w:type="dxa"/>
            <w:tcBorders>
              <w:tl2br w:val="nil"/>
              <w:tr2bl w:val="nil"/>
            </w:tcBorders>
            <w:shd w:val="clear" w:color="auto" w:fill="auto"/>
            <w:noWrap/>
            <w:vAlign w:val="center"/>
          </w:tcPr>
          <w:p w14:paraId="75F5EBD3">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67" w:type="dxa"/>
            <w:tcBorders>
              <w:tl2br w:val="nil"/>
              <w:tr2bl w:val="nil"/>
            </w:tcBorders>
            <w:shd w:val="clear" w:color="auto" w:fill="auto"/>
            <w:noWrap/>
            <w:vAlign w:val="center"/>
          </w:tcPr>
          <w:p w14:paraId="1E392F12">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highlight w:val="none"/>
                <w:u w:val="none"/>
              </w:rPr>
            </w:pPr>
            <w:r>
              <w:rPr>
                <w:rFonts w:hint="eastAsia" w:ascii="仿宋" w:hAnsi="仿宋" w:eastAsia="仿宋" w:cs="仿宋"/>
                <w:b w:val="0"/>
                <w:bCs w:val="0"/>
                <w:i w:val="0"/>
                <w:iCs w:val="0"/>
                <w:color w:val="000000"/>
                <w:kern w:val="0"/>
                <w:sz w:val="22"/>
                <w:szCs w:val="22"/>
                <w:highlight w:val="none"/>
                <w:u w:val="none"/>
                <w:lang w:val="en-US" w:eastAsia="zh-CN" w:bidi="ar"/>
              </w:rPr>
              <w:t>2450</w:t>
            </w:r>
          </w:p>
        </w:tc>
      </w:tr>
      <w:tr w14:paraId="0B31E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trPr>
        <w:tc>
          <w:tcPr>
            <w:tcW w:w="756" w:type="dxa"/>
            <w:vMerge w:val="continue"/>
            <w:tcBorders>
              <w:tl2br w:val="nil"/>
              <w:tr2bl w:val="nil"/>
            </w:tcBorders>
            <w:shd w:val="clear" w:color="auto" w:fill="auto"/>
            <w:vAlign w:val="center"/>
          </w:tcPr>
          <w:p w14:paraId="0497DD39">
            <w:pPr>
              <w:jc w:val="center"/>
              <w:rPr>
                <w:rFonts w:hint="eastAsia" w:ascii="仿宋" w:hAnsi="仿宋" w:eastAsia="仿宋" w:cs="仿宋"/>
                <w:i w:val="0"/>
                <w:iCs w:val="0"/>
                <w:color w:val="000000"/>
                <w:sz w:val="22"/>
                <w:szCs w:val="22"/>
                <w:highlight w:val="none"/>
                <w:u w:val="none"/>
              </w:rPr>
            </w:pPr>
          </w:p>
        </w:tc>
        <w:tc>
          <w:tcPr>
            <w:tcW w:w="3333" w:type="dxa"/>
            <w:vMerge w:val="continue"/>
            <w:tcBorders>
              <w:tl2br w:val="nil"/>
              <w:tr2bl w:val="nil"/>
            </w:tcBorders>
            <w:shd w:val="clear" w:color="auto" w:fill="auto"/>
            <w:vAlign w:val="center"/>
          </w:tcPr>
          <w:p w14:paraId="66135003">
            <w:pPr>
              <w:jc w:val="center"/>
              <w:rPr>
                <w:rFonts w:hint="eastAsia" w:ascii="仿宋" w:hAnsi="仿宋" w:eastAsia="仿宋" w:cs="仿宋"/>
                <w:i w:val="0"/>
                <w:iCs w:val="0"/>
                <w:color w:val="000000"/>
                <w:sz w:val="22"/>
                <w:szCs w:val="22"/>
                <w:highlight w:val="none"/>
                <w:u w:val="none"/>
              </w:rPr>
            </w:pPr>
          </w:p>
        </w:tc>
        <w:tc>
          <w:tcPr>
            <w:tcW w:w="2544" w:type="dxa"/>
            <w:tcBorders>
              <w:tl2br w:val="nil"/>
              <w:tr2bl w:val="nil"/>
            </w:tcBorders>
            <w:shd w:val="clear" w:color="auto" w:fill="auto"/>
            <w:noWrap/>
            <w:vAlign w:val="center"/>
          </w:tcPr>
          <w:p w14:paraId="3A55395E">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PE给水管道</w:t>
            </w:r>
          </w:p>
        </w:tc>
        <w:tc>
          <w:tcPr>
            <w:tcW w:w="1867" w:type="dxa"/>
            <w:tcBorders>
              <w:tl2br w:val="nil"/>
              <w:tr2bl w:val="nil"/>
            </w:tcBorders>
            <w:shd w:val="clear" w:color="auto" w:fill="auto"/>
            <w:noWrap/>
            <w:vAlign w:val="center"/>
          </w:tcPr>
          <w:p w14:paraId="5CC233CF">
            <w:pPr>
              <w:keepNext w:val="0"/>
              <w:keepLines w:val="0"/>
              <w:widowControl/>
              <w:suppressLineNumbers w:val="0"/>
              <w:jc w:val="center"/>
              <w:textAlignment w:val="center"/>
              <w:rPr>
                <w:rFonts w:hint="eastAsia" w:ascii="仿宋" w:hAnsi="仿宋" w:eastAsia="仿宋" w:cs="仿宋"/>
                <w:b w:val="0"/>
                <w:bCs w:val="0"/>
                <w:i w:val="0"/>
                <w:iCs w:val="0"/>
                <w:color w:val="000000"/>
                <w:sz w:val="22"/>
                <w:szCs w:val="22"/>
                <w:highlight w:val="none"/>
                <w:u w:val="none"/>
              </w:rPr>
            </w:pPr>
            <w:r>
              <w:rPr>
                <w:rFonts w:hint="eastAsia" w:ascii="仿宋" w:hAnsi="仿宋" w:eastAsia="仿宋" w:cs="仿宋"/>
                <w:b w:val="0"/>
                <w:bCs w:val="0"/>
                <w:i w:val="0"/>
                <w:iCs w:val="0"/>
                <w:color w:val="000000"/>
                <w:kern w:val="0"/>
                <w:sz w:val="22"/>
                <w:szCs w:val="22"/>
                <w:highlight w:val="none"/>
                <w:u w:val="none"/>
                <w:lang w:val="en-US" w:eastAsia="zh-CN" w:bidi="ar"/>
              </w:rPr>
              <w:t>8000</w:t>
            </w:r>
          </w:p>
        </w:tc>
      </w:tr>
      <w:tr w14:paraId="5C755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trPr>
        <w:tc>
          <w:tcPr>
            <w:tcW w:w="6633" w:type="dxa"/>
            <w:gridSpan w:val="3"/>
            <w:tcBorders>
              <w:tl2br w:val="nil"/>
              <w:tr2bl w:val="nil"/>
            </w:tcBorders>
            <w:shd w:val="clear" w:color="auto" w:fill="auto"/>
            <w:vAlign w:val="center"/>
          </w:tcPr>
          <w:p w14:paraId="270714FF">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highlight w:val="none"/>
                <w:u w:val="none"/>
                <w:lang w:val="en-US" w:eastAsia="zh-CN" w:bidi="ar"/>
              </w:rPr>
            </w:pPr>
            <w:r>
              <w:rPr>
                <w:rFonts w:hint="eastAsia" w:ascii="仿宋" w:hAnsi="仿宋" w:eastAsia="仿宋" w:cs="仿宋"/>
                <w:b/>
                <w:bCs/>
                <w:i w:val="0"/>
                <w:iCs w:val="0"/>
                <w:color w:val="000000"/>
                <w:kern w:val="0"/>
                <w:sz w:val="22"/>
                <w:szCs w:val="22"/>
                <w:highlight w:val="none"/>
                <w:u w:val="none"/>
                <w:lang w:val="en-US" w:eastAsia="zh-CN" w:bidi="ar"/>
              </w:rPr>
              <w:t>合计</w:t>
            </w:r>
          </w:p>
        </w:tc>
        <w:tc>
          <w:tcPr>
            <w:tcW w:w="1867" w:type="dxa"/>
            <w:tcBorders>
              <w:tl2br w:val="nil"/>
              <w:tr2bl w:val="nil"/>
            </w:tcBorders>
            <w:shd w:val="clear" w:color="auto" w:fill="auto"/>
            <w:noWrap/>
            <w:vAlign w:val="center"/>
          </w:tcPr>
          <w:p w14:paraId="4CE3B8D0">
            <w:pPr>
              <w:keepNext w:val="0"/>
              <w:keepLines w:val="0"/>
              <w:widowControl/>
              <w:suppressLineNumbers w:val="0"/>
              <w:jc w:val="center"/>
              <w:textAlignment w:val="center"/>
              <w:rPr>
                <w:rFonts w:hint="default" w:ascii="仿宋" w:hAnsi="仿宋" w:eastAsia="仿宋" w:cs="仿宋"/>
                <w:b/>
                <w:bCs/>
                <w:i w:val="0"/>
                <w:iCs w:val="0"/>
                <w:color w:val="000000"/>
                <w:kern w:val="0"/>
                <w:sz w:val="22"/>
                <w:szCs w:val="22"/>
                <w:highlight w:val="none"/>
                <w:u w:val="none"/>
                <w:lang w:val="en-US" w:eastAsia="zh-CN" w:bidi="ar"/>
              </w:rPr>
            </w:pPr>
            <w:r>
              <w:rPr>
                <w:rFonts w:hint="eastAsia" w:ascii="仿宋" w:hAnsi="仿宋" w:eastAsia="仿宋" w:cs="仿宋"/>
                <w:b/>
                <w:bCs/>
                <w:i w:val="0"/>
                <w:iCs w:val="0"/>
                <w:color w:val="000000"/>
                <w:kern w:val="0"/>
                <w:sz w:val="22"/>
                <w:szCs w:val="22"/>
                <w:highlight w:val="none"/>
                <w:u w:val="none"/>
                <w:lang w:val="en-US" w:eastAsia="zh-CN" w:bidi="ar"/>
              </w:rPr>
              <w:t>33665</w:t>
            </w:r>
          </w:p>
        </w:tc>
      </w:tr>
    </w:tbl>
    <w:p w14:paraId="3EADD03C">
      <w:pPr>
        <w:numPr>
          <w:ilvl w:val="0"/>
          <w:numId w:val="0"/>
        </w:numPr>
        <w:autoSpaceDE w:val="0"/>
        <w:autoSpaceDN w:val="0"/>
        <w:spacing w:line="600" w:lineRule="exact"/>
        <w:ind w:firstLine="643" w:firstLineChars="200"/>
        <w:jc w:val="center"/>
        <w:rPr>
          <w:rFonts w:hint="default" w:ascii="仿宋" w:hAnsi="仿宋" w:eastAsia="仿宋" w:cs="宋体"/>
          <w:b/>
          <w:bCs/>
          <w:color w:val="auto"/>
          <w:sz w:val="32"/>
          <w:szCs w:val="32"/>
          <w:highlight w:val="none"/>
          <w:lang w:val="en-US" w:eastAsia="zh-CN"/>
        </w:rPr>
      </w:pPr>
      <w:r>
        <w:rPr>
          <w:rFonts w:hint="eastAsia" w:ascii="仿宋" w:hAnsi="仿宋" w:eastAsia="仿宋" w:cs="宋体"/>
          <w:b/>
          <w:bCs/>
          <w:color w:val="auto"/>
          <w:sz w:val="32"/>
          <w:szCs w:val="32"/>
          <w:highlight w:val="none"/>
          <w:lang w:val="en-US" w:eastAsia="zh-CN"/>
        </w:rPr>
        <w:t>表3  通安街道改建居民供水管道明细表</w:t>
      </w:r>
    </w:p>
    <w:tbl>
      <w:tblPr>
        <w:tblStyle w:val="9"/>
        <w:tblW w:w="8439" w:type="dxa"/>
        <w:tblInd w:w="25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3"/>
        <w:gridCol w:w="3843"/>
        <w:gridCol w:w="2009"/>
        <w:gridCol w:w="1844"/>
      </w:tblGrid>
      <w:tr w14:paraId="7582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blHeader/>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DD8A">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序号</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D69B">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部位</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2140">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管道类型</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8EF30">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长度（m）</w:t>
            </w:r>
          </w:p>
        </w:tc>
      </w:tr>
      <w:tr w14:paraId="2D339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F9B31">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A44E">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苏锡路西，江安路南</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1E12">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C74B">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130</w:t>
            </w:r>
          </w:p>
        </w:tc>
      </w:tr>
      <w:tr w14:paraId="3758E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300B">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F3B3">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西巷社区</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90CF0">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D207">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50</w:t>
            </w:r>
          </w:p>
        </w:tc>
      </w:tr>
      <w:tr w14:paraId="36084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1077">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3</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07F6">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华通路（金通路-中唐路）</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BD17">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AAFBE">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210</w:t>
            </w:r>
          </w:p>
        </w:tc>
      </w:tr>
      <w:tr w14:paraId="230CE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887D">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4</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CBD1">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真山路（东唐路-312国道）</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1B24">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2AC1">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370</w:t>
            </w:r>
          </w:p>
        </w:tc>
      </w:tr>
      <w:tr w14:paraId="075FC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AC7E">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5</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3A63">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苏锡路西，江安路南</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C77F">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57D9">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1000</w:t>
            </w:r>
          </w:p>
        </w:tc>
      </w:tr>
      <w:tr w14:paraId="0787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D8EE">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6</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8FDB">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新合村</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8E2D">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039B">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1295</w:t>
            </w:r>
          </w:p>
        </w:tc>
      </w:tr>
      <w:tr w14:paraId="14FC8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1327">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7</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8238">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颜家村</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E4CE">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4B34">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450</w:t>
            </w:r>
          </w:p>
        </w:tc>
      </w:tr>
      <w:tr w14:paraId="37F90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8EAF">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8</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A43B">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东泾村</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D8049">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D9DF">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2700</w:t>
            </w:r>
          </w:p>
        </w:tc>
      </w:tr>
      <w:tr w14:paraId="34386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96B9">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9</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128D">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航船浜村</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FFA4C">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51154">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900</w:t>
            </w:r>
          </w:p>
        </w:tc>
      </w:tr>
      <w:tr w14:paraId="2136F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C4C2">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10</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CAA3">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西巷社区</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66A33">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A357">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1070</w:t>
            </w:r>
          </w:p>
        </w:tc>
      </w:tr>
      <w:tr w14:paraId="0F208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D985">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11</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6F56">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新钱村</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7C20">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D4E0">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300</w:t>
            </w:r>
          </w:p>
        </w:tc>
      </w:tr>
      <w:tr w14:paraId="0212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5530">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12</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2871">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通安村</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F5331">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3C8C">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330</w:t>
            </w:r>
          </w:p>
        </w:tc>
      </w:tr>
      <w:tr w14:paraId="67D5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88413">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13</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2A57">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北河村</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0F26C">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33D9C">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200</w:t>
            </w:r>
          </w:p>
        </w:tc>
      </w:tr>
      <w:tr w14:paraId="571F6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BFD9">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14</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6DF5">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华通花园4区北侧</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B805">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CF09">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650</w:t>
            </w:r>
          </w:p>
        </w:tc>
      </w:tr>
      <w:tr w14:paraId="7A6CF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4F0E">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15</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8060">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街西、渔业漏户</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B08D0">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1F028">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1720</w:t>
            </w:r>
          </w:p>
        </w:tc>
      </w:tr>
      <w:tr w14:paraId="53E02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D2AB">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16</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313C">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严山村、金庵堂及厕所、前横泾村、朱庄、北河村部分</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CBFB">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CD64">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1160</w:t>
            </w:r>
          </w:p>
        </w:tc>
      </w:tr>
      <w:tr w14:paraId="4B326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CEBF">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17</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5439">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青峰农场漏户</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3464">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D43D">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1700</w:t>
            </w:r>
          </w:p>
        </w:tc>
      </w:tr>
      <w:tr w14:paraId="1081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94E4">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18</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94236">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苏锡路南，富阳路周边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1ED8">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PE管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8057">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3495</w:t>
            </w:r>
          </w:p>
        </w:tc>
      </w:tr>
      <w:tr w14:paraId="0197A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AB5A">
            <w:pPr>
              <w:keepNext w:val="0"/>
              <w:keepLines w:val="0"/>
              <w:widowControl/>
              <w:suppressLineNumbers w:val="0"/>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19</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964D">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通安镇新钱村</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98A7">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球墨铸铁管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3E80">
            <w:pPr>
              <w:keepNext w:val="0"/>
              <w:keepLines w:val="0"/>
              <w:widowControl/>
              <w:suppressLineNumbers w:val="0"/>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65</w:t>
            </w:r>
          </w:p>
        </w:tc>
      </w:tr>
      <w:tr w14:paraId="7F087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59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5768">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lang w:val="en-US" w:eastAsia="zh-CN"/>
              </w:rPr>
            </w:pPr>
            <w:r>
              <w:rPr>
                <w:rFonts w:hint="eastAsia" w:ascii="仿宋" w:hAnsi="仿宋" w:eastAsia="仿宋" w:cs="仿宋"/>
                <w:b/>
                <w:bCs/>
                <w:i w:val="0"/>
                <w:iCs w:val="0"/>
                <w:color w:val="000000"/>
                <w:sz w:val="22"/>
                <w:szCs w:val="22"/>
                <w:highlight w:val="none"/>
                <w:u w:val="none"/>
                <w:lang w:val="en-US" w:eastAsia="zh-CN"/>
              </w:rPr>
              <w:t>合计</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F7BD">
            <w:pPr>
              <w:keepNext w:val="0"/>
              <w:keepLines w:val="0"/>
              <w:widowControl/>
              <w:suppressLineNumbers w:val="0"/>
              <w:jc w:val="center"/>
              <w:textAlignment w:val="center"/>
              <w:rPr>
                <w:rFonts w:hint="default" w:ascii="仿宋" w:hAnsi="仿宋" w:eastAsia="仿宋" w:cs="仿宋"/>
                <w:b/>
                <w:bCs/>
                <w:i w:val="0"/>
                <w:iCs w:val="0"/>
                <w:color w:val="000000"/>
                <w:sz w:val="22"/>
                <w:szCs w:val="22"/>
                <w:highlight w:val="none"/>
                <w:u w:val="none"/>
                <w:lang w:val="en-US"/>
              </w:rPr>
            </w:pPr>
            <w:r>
              <w:rPr>
                <w:rFonts w:hint="eastAsia" w:ascii="仿宋" w:hAnsi="仿宋" w:eastAsia="仿宋" w:cs="仿宋"/>
                <w:b/>
                <w:bCs/>
                <w:i w:val="0"/>
                <w:iCs w:val="0"/>
                <w:color w:val="000000"/>
                <w:kern w:val="0"/>
                <w:sz w:val="22"/>
                <w:szCs w:val="22"/>
                <w:highlight w:val="none"/>
                <w:u w:val="none"/>
                <w:lang w:val="en-US" w:eastAsia="zh-CN" w:bidi="ar"/>
              </w:rPr>
              <w:t>17795</w:t>
            </w:r>
          </w:p>
        </w:tc>
      </w:tr>
    </w:tbl>
    <w:p w14:paraId="759DE21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2"/>
        <w:rPr>
          <w:rFonts w:hint="default"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bidi="ar-SA"/>
        </w:rPr>
        <w:t>2</w:t>
      </w: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rPr>
        <w:t>更换居民水表2000块</w:t>
      </w:r>
    </w:p>
    <w:p w14:paraId="0057DFEB">
      <w:pPr>
        <w:numPr>
          <w:ilvl w:val="0"/>
          <w:numId w:val="0"/>
        </w:numPr>
        <w:autoSpaceDE w:val="0"/>
        <w:autoSpaceDN w:val="0"/>
        <w:spacing w:line="600" w:lineRule="exact"/>
        <w:ind w:firstLine="640" w:firstLineChars="200"/>
        <w:rPr>
          <w:rFonts w:hint="default"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lang w:val="en-US" w:eastAsia="zh-CN"/>
        </w:rPr>
        <w:t>指标目标值完成，实际完成值5301块。依据工程质量报验表、水表安装验收记录表，更换居民水表共5301块，完成率为5301/2000=265.05%，得分为（1-（265.05%-130%）/1.3*1）*5＜0，不得分。</w:t>
      </w:r>
    </w:p>
    <w:p w14:paraId="52B86AE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3"/>
        <w:rPr>
          <w:rFonts w:hint="default"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bidi="ar-SA"/>
        </w:rPr>
        <w:t>3</w:t>
      </w: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bidi="ar-SA"/>
        </w:rPr>
        <w:t>项目竣工验收</w:t>
      </w:r>
    </w:p>
    <w:p w14:paraId="69A8ECBD">
      <w:pPr>
        <w:numPr>
          <w:ilvl w:val="0"/>
          <w:numId w:val="0"/>
        </w:numPr>
        <w:autoSpaceDE w:val="0"/>
        <w:autoSpaceDN w:val="0"/>
        <w:spacing w:line="600" w:lineRule="exact"/>
        <w:ind w:firstLine="640" w:firstLineChars="200"/>
        <w:rPr>
          <w:rFonts w:hint="eastAsia" w:ascii="仿宋" w:hAnsi="仿宋" w:eastAsia="仿宋" w:cs="宋体"/>
          <w:color w:val="auto"/>
          <w:sz w:val="32"/>
          <w:szCs w:val="32"/>
          <w:highlight w:val="none"/>
          <w:lang w:eastAsia="zh-CN"/>
        </w:rPr>
      </w:pPr>
      <w:r>
        <w:rPr>
          <w:rFonts w:hint="eastAsia" w:ascii="仿宋" w:hAnsi="仿宋" w:eastAsia="仿宋" w:cs="宋体"/>
          <w:color w:val="auto"/>
          <w:sz w:val="32"/>
          <w:szCs w:val="32"/>
          <w:highlight w:val="none"/>
        </w:rPr>
        <w:t>指标目标值</w:t>
      </w:r>
      <w:r>
        <w:rPr>
          <w:rFonts w:hint="eastAsia" w:ascii="仿宋" w:hAnsi="仿宋" w:eastAsia="仿宋" w:cs="宋体"/>
          <w:color w:val="auto"/>
          <w:sz w:val="32"/>
          <w:szCs w:val="32"/>
          <w:highlight w:val="none"/>
          <w:lang w:val="en-US" w:eastAsia="zh-CN"/>
        </w:rPr>
        <w:t>完成</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完成</w:t>
      </w:r>
      <w:r>
        <w:rPr>
          <w:rFonts w:hint="eastAsia" w:ascii="仿宋" w:hAnsi="仿宋" w:eastAsia="仿宋" w:cs="宋体"/>
          <w:color w:val="auto"/>
          <w:sz w:val="32"/>
          <w:szCs w:val="32"/>
          <w:highlight w:val="none"/>
          <w:lang w:eastAsia="zh-CN"/>
        </w:rPr>
        <w:t>，本工程按照合同约定施工，项目已</w:t>
      </w:r>
      <w:r>
        <w:rPr>
          <w:rFonts w:hint="eastAsia" w:ascii="仿宋" w:hAnsi="仿宋" w:eastAsia="仿宋" w:cs="宋体"/>
          <w:color w:val="auto"/>
          <w:sz w:val="32"/>
          <w:szCs w:val="32"/>
          <w:highlight w:val="none"/>
          <w:lang w:val="en-US" w:eastAsia="zh-CN"/>
        </w:rPr>
        <w:t>于2025年12月20日</w:t>
      </w:r>
      <w:r>
        <w:rPr>
          <w:rFonts w:hint="eastAsia" w:ascii="仿宋" w:hAnsi="仿宋" w:eastAsia="仿宋" w:cs="宋体"/>
          <w:color w:val="auto"/>
          <w:sz w:val="32"/>
          <w:szCs w:val="32"/>
          <w:highlight w:val="none"/>
          <w:lang w:eastAsia="zh-CN"/>
        </w:rPr>
        <w:t>完成验收，</w:t>
      </w:r>
      <w:r>
        <w:rPr>
          <w:rFonts w:hint="eastAsia" w:ascii="仿宋" w:hAnsi="仿宋" w:eastAsia="仿宋" w:cs="宋体"/>
          <w:color w:val="auto"/>
          <w:sz w:val="32"/>
          <w:szCs w:val="32"/>
          <w:highlight w:val="none"/>
          <w:lang w:val="en-US" w:eastAsia="zh-CN"/>
        </w:rPr>
        <w:t>得分为5*100%=5.00分。</w:t>
      </w:r>
    </w:p>
    <w:p w14:paraId="4958DFF9">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3"/>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bidi="ar-SA"/>
        </w:rPr>
        <w:t>4</w:t>
      </w: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rPr>
        <w:t>监理工作开展率</w:t>
      </w:r>
    </w:p>
    <w:p w14:paraId="04C4E0C3">
      <w:pPr>
        <w:numPr>
          <w:ilvl w:val="0"/>
          <w:numId w:val="0"/>
        </w:numPr>
        <w:autoSpaceDE w:val="0"/>
        <w:autoSpaceDN w:val="0"/>
        <w:spacing w:line="600" w:lineRule="exact"/>
        <w:ind w:firstLine="640" w:firstLineChars="200"/>
        <w:rPr>
          <w:rFonts w:hint="eastAsia"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rPr>
        <w:t>指标目标值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lang w:eastAsia="zh-CN"/>
        </w:rPr>
        <w:t>，依据监理合同、人员一览表、考勤表；监理日志、监理会议纪要、监理月报；监理通知单及回复单、工程联系单、监理工程停工令、工程复工报审表、工程复工令、中小型施工机械检查记录表等,监理工作开展率</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得分为5*100%=5.00分。</w:t>
      </w:r>
    </w:p>
    <w:p w14:paraId="6B70A83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3"/>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bidi="ar-SA"/>
        </w:rPr>
        <w:t>5</w:t>
      </w: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rPr>
        <w:t>项目竣工及时性</w:t>
      </w:r>
    </w:p>
    <w:p w14:paraId="5B129312">
      <w:pPr>
        <w:numPr>
          <w:ilvl w:val="0"/>
          <w:numId w:val="0"/>
        </w:numPr>
        <w:autoSpaceDE w:val="0"/>
        <w:autoSpaceDN w:val="0"/>
        <w:spacing w:line="600" w:lineRule="exact"/>
        <w:ind w:firstLine="640" w:firstLineChars="200"/>
        <w:rPr>
          <w:rFonts w:hint="eastAsia" w:ascii="仿宋" w:hAnsi="仿宋" w:eastAsia="仿宋" w:cs="宋体"/>
          <w:b/>
          <w:bCs/>
          <w:color w:val="auto"/>
          <w:sz w:val="32"/>
          <w:szCs w:val="32"/>
          <w:highlight w:val="none"/>
          <w:lang w:val="en-US" w:eastAsia="zh-CN"/>
        </w:rPr>
      </w:pPr>
      <w:r>
        <w:rPr>
          <w:rFonts w:hint="eastAsia" w:ascii="仿宋" w:hAnsi="仿宋" w:eastAsia="仿宋" w:cs="宋体"/>
          <w:color w:val="auto"/>
          <w:sz w:val="32"/>
          <w:szCs w:val="32"/>
          <w:highlight w:val="none"/>
        </w:rPr>
        <w:t>指标目标值</w:t>
      </w:r>
      <w:r>
        <w:rPr>
          <w:rFonts w:hint="eastAsia" w:ascii="仿宋" w:hAnsi="仿宋" w:eastAsia="仿宋" w:cs="宋体"/>
          <w:color w:val="auto"/>
          <w:sz w:val="32"/>
          <w:szCs w:val="32"/>
          <w:highlight w:val="none"/>
          <w:lang w:val="en-US" w:eastAsia="zh-CN"/>
        </w:rPr>
        <w:t>及时</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及时</w:t>
      </w:r>
      <w:r>
        <w:rPr>
          <w:rFonts w:hint="eastAsia" w:ascii="仿宋" w:hAnsi="仿宋" w:eastAsia="仿宋" w:cs="宋体"/>
          <w:color w:val="auto"/>
          <w:sz w:val="32"/>
          <w:szCs w:val="32"/>
          <w:highlight w:val="none"/>
          <w:lang w:eastAsia="zh-CN"/>
        </w:rPr>
        <w:t>。依据转供水管网改造提升工程合同要求，计划竣工日期为2025年12月30日，验收证明实际竣工日期为2025年12月20日，项目竣工及时，</w:t>
      </w:r>
      <w:r>
        <w:rPr>
          <w:rFonts w:hint="eastAsia" w:ascii="仿宋" w:hAnsi="仿宋" w:eastAsia="仿宋" w:cs="宋体"/>
          <w:color w:val="auto"/>
          <w:sz w:val="32"/>
          <w:szCs w:val="32"/>
          <w:highlight w:val="none"/>
          <w:lang w:val="en-US" w:eastAsia="zh-CN"/>
        </w:rPr>
        <w:t>得分为5*100%=5.00分。</w:t>
      </w:r>
    </w:p>
    <w:p w14:paraId="50605D26">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3"/>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(4)</w:t>
      </w:r>
      <w:r>
        <w:rPr>
          <w:rFonts w:hint="eastAsia" w:ascii="仿宋" w:hAnsi="仿宋" w:eastAsia="仿宋" w:cs="宋体"/>
          <w:b/>
          <w:bCs/>
          <w:color w:val="auto"/>
          <w:sz w:val="32"/>
          <w:szCs w:val="32"/>
          <w:highlight w:val="none"/>
          <w:lang w:val="en-US" w:eastAsia="zh-CN"/>
        </w:rPr>
        <w:t>成本控制率</w:t>
      </w:r>
    </w:p>
    <w:p w14:paraId="7216440F">
      <w:pPr>
        <w:numPr>
          <w:ilvl w:val="0"/>
          <w:numId w:val="0"/>
        </w:numPr>
        <w:autoSpaceDE w:val="0"/>
        <w:autoSpaceDN w:val="0"/>
        <w:spacing w:line="600" w:lineRule="exact"/>
        <w:ind w:firstLine="640" w:firstLineChars="200"/>
        <w:jc w:val="both"/>
        <w:rPr>
          <w:rFonts w:hint="default"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rPr>
        <w:t>指标目标值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80%</w:t>
      </w:r>
      <w:r>
        <w:rPr>
          <w:rFonts w:hint="eastAsia" w:ascii="仿宋" w:hAnsi="仿宋" w:eastAsia="仿宋" w:cs="宋体"/>
          <w:color w:val="auto"/>
          <w:sz w:val="32"/>
          <w:szCs w:val="32"/>
          <w:highlight w:val="none"/>
          <w:lang w:eastAsia="zh-CN"/>
        </w:rPr>
        <w:t>。依据项目总投资概算为10</w:t>
      </w:r>
      <w:r>
        <w:rPr>
          <w:rFonts w:hint="eastAsia" w:ascii="仿宋" w:hAnsi="仿宋" w:eastAsia="仿宋" w:cs="宋体"/>
          <w:color w:val="auto"/>
          <w:sz w:val="32"/>
          <w:szCs w:val="32"/>
          <w:highlight w:val="none"/>
          <w:lang w:val="en-US" w:eastAsia="zh-CN"/>
        </w:rPr>
        <w:t>,</w:t>
      </w:r>
      <w:r>
        <w:rPr>
          <w:rFonts w:hint="eastAsia" w:ascii="仿宋" w:hAnsi="仿宋" w:eastAsia="仿宋" w:cs="宋体"/>
          <w:color w:val="auto"/>
          <w:sz w:val="32"/>
          <w:szCs w:val="32"/>
          <w:highlight w:val="none"/>
          <w:lang w:eastAsia="zh-CN"/>
        </w:rPr>
        <w:t>999.58万元，已签订合同金额9</w:t>
      </w:r>
      <w:r>
        <w:rPr>
          <w:rFonts w:hint="eastAsia" w:ascii="仿宋" w:hAnsi="仿宋" w:eastAsia="仿宋" w:cs="宋体"/>
          <w:color w:val="auto"/>
          <w:sz w:val="32"/>
          <w:szCs w:val="32"/>
          <w:highlight w:val="none"/>
          <w:lang w:val="en-US" w:eastAsia="zh-CN"/>
        </w:rPr>
        <w:t>,</w:t>
      </w:r>
      <w:r>
        <w:rPr>
          <w:rFonts w:hint="eastAsia" w:ascii="仿宋" w:hAnsi="仿宋" w:eastAsia="仿宋" w:cs="宋体"/>
          <w:color w:val="auto"/>
          <w:sz w:val="32"/>
          <w:szCs w:val="32"/>
          <w:highlight w:val="none"/>
          <w:lang w:eastAsia="zh-CN"/>
        </w:rPr>
        <w:t>366.93万元，已</w:t>
      </w:r>
      <w:r>
        <w:rPr>
          <w:rFonts w:hint="eastAsia" w:ascii="仿宋" w:hAnsi="仿宋" w:eastAsia="仿宋" w:cs="宋体"/>
          <w:color w:val="auto"/>
          <w:sz w:val="32"/>
          <w:szCs w:val="32"/>
          <w:highlight w:val="none"/>
          <w:lang w:val="en-US" w:eastAsia="zh-CN"/>
        </w:rPr>
        <w:t>支付金额</w:t>
      </w:r>
      <w:r>
        <w:rPr>
          <w:rFonts w:hint="eastAsia" w:ascii="仿宋" w:hAnsi="仿宋" w:eastAsia="仿宋" w:cs="宋体"/>
          <w:color w:val="auto"/>
          <w:sz w:val="32"/>
          <w:szCs w:val="32"/>
          <w:highlight w:val="none"/>
          <w:lang w:eastAsia="zh-CN"/>
        </w:rPr>
        <w:t>6</w:t>
      </w:r>
      <w:r>
        <w:rPr>
          <w:rFonts w:hint="eastAsia" w:ascii="仿宋" w:hAnsi="仿宋" w:eastAsia="仿宋" w:cs="宋体"/>
          <w:color w:val="auto"/>
          <w:sz w:val="32"/>
          <w:szCs w:val="32"/>
          <w:highlight w:val="none"/>
          <w:lang w:val="en-US" w:eastAsia="zh-CN"/>
        </w:rPr>
        <w:t>,</w:t>
      </w:r>
      <w:r>
        <w:rPr>
          <w:rFonts w:hint="eastAsia" w:ascii="仿宋" w:hAnsi="仿宋" w:eastAsia="仿宋" w:cs="宋体"/>
          <w:color w:val="auto"/>
          <w:sz w:val="32"/>
          <w:szCs w:val="32"/>
          <w:highlight w:val="none"/>
          <w:lang w:eastAsia="zh-CN"/>
        </w:rPr>
        <w:t>300.40万元，已发生总额在概算总额</w:t>
      </w:r>
      <w:r>
        <w:rPr>
          <w:rFonts w:hint="eastAsia" w:ascii="仿宋" w:hAnsi="仿宋" w:eastAsia="仿宋" w:cs="宋体"/>
          <w:color w:val="auto"/>
          <w:sz w:val="32"/>
          <w:szCs w:val="32"/>
          <w:highlight w:val="none"/>
          <w:lang w:val="en-US" w:eastAsia="zh-CN"/>
        </w:rPr>
        <w:t>范围内</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但</w:t>
      </w:r>
      <w:r>
        <w:rPr>
          <w:rFonts w:hint="eastAsia" w:ascii="仿宋" w:hAnsi="仿宋" w:eastAsia="仿宋" w:cs="宋体"/>
          <w:color w:val="auto"/>
          <w:sz w:val="32"/>
          <w:szCs w:val="32"/>
          <w:highlight w:val="none"/>
          <w:lang w:eastAsia="zh-CN"/>
        </w:rPr>
        <w:t>监理招标</w:t>
      </w:r>
      <w:r>
        <w:rPr>
          <w:rFonts w:hint="eastAsia" w:ascii="仿宋" w:hAnsi="仿宋" w:eastAsia="仿宋" w:cs="宋体"/>
          <w:color w:val="auto"/>
          <w:sz w:val="32"/>
          <w:szCs w:val="32"/>
          <w:highlight w:val="none"/>
          <w:lang w:val="en-US" w:eastAsia="zh-CN"/>
        </w:rPr>
        <w:t>控制</w:t>
      </w:r>
      <w:r>
        <w:rPr>
          <w:rFonts w:hint="eastAsia" w:ascii="仿宋" w:hAnsi="仿宋" w:eastAsia="仿宋" w:cs="宋体"/>
          <w:color w:val="auto"/>
          <w:sz w:val="32"/>
          <w:szCs w:val="32"/>
          <w:highlight w:val="none"/>
          <w:lang w:eastAsia="zh-CN"/>
        </w:rPr>
        <w:t>较概算高出41.63万元、代建合同</w:t>
      </w:r>
      <w:r>
        <w:rPr>
          <w:rFonts w:hint="eastAsia" w:ascii="仿宋" w:hAnsi="仿宋" w:eastAsia="仿宋" w:cs="宋体"/>
          <w:color w:val="auto"/>
          <w:sz w:val="32"/>
          <w:szCs w:val="32"/>
          <w:highlight w:val="none"/>
          <w:lang w:val="en-US" w:eastAsia="zh-CN"/>
        </w:rPr>
        <w:t>价</w:t>
      </w:r>
      <w:r>
        <w:rPr>
          <w:rFonts w:hint="eastAsia" w:ascii="仿宋" w:hAnsi="仿宋" w:eastAsia="仿宋" w:cs="宋体"/>
          <w:color w:val="auto"/>
          <w:sz w:val="32"/>
          <w:szCs w:val="32"/>
          <w:highlight w:val="none"/>
          <w:lang w:eastAsia="zh-CN"/>
        </w:rPr>
        <w:t>较概算高出15.27万元。酌情</w:t>
      </w:r>
      <w:r>
        <w:rPr>
          <w:rFonts w:hint="eastAsia" w:ascii="仿宋" w:hAnsi="仿宋" w:eastAsia="仿宋" w:cs="宋体"/>
          <w:color w:val="auto"/>
          <w:sz w:val="32"/>
          <w:szCs w:val="32"/>
          <w:highlight w:val="none"/>
          <w:lang w:val="en-US" w:eastAsia="zh-CN"/>
        </w:rPr>
        <w:t>按8</w:t>
      </w:r>
      <w:r>
        <w:rPr>
          <w:rFonts w:hint="eastAsia" w:ascii="仿宋" w:hAnsi="仿宋" w:eastAsia="仿宋" w:cs="宋体"/>
          <w:color w:val="auto"/>
          <w:sz w:val="32"/>
          <w:szCs w:val="32"/>
          <w:highlight w:val="none"/>
          <w:lang w:eastAsia="zh-CN"/>
        </w:rPr>
        <w:t>0%</w:t>
      </w:r>
      <w:r>
        <w:rPr>
          <w:rFonts w:hint="eastAsia" w:ascii="仿宋" w:hAnsi="仿宋" w:eastAsia="仿宋" w:cs="宋体"/>
          <w:color w:val="auto"/>
          <w:sz w:val="32"/>
          <w:szCs w:val="32"/>
          <w:highlight w:val="none"/>
          <w:lang w:val="en-US" w:eastAsia="zh-CN"/>
        </w:rPr>
        <w:t>得分，得分为5*80%=4.00分。</w:t>
      </w:r>
    </w:p>
    <w:p w14:paraId="30E0B973">
      <w:pPr>
        <w:numPr>
          <w:ilvl w:val="0"/>
          <w:numId w:val="0"/>
        </w:numPr>
        <w:autoSpaceDE w:val="0"/>
        <w:autoSpaceDN w:val="0"/>
        <w:spacing w:line="600" w:lineRule="exact"/>
        <w:ind w:firstLine="643" w:firstLineChars="200"/>
        <w:outlineLvl w:val="1"/>
        <w:rPr>
          <w:rFonts w:hint="eastAsia" w:ascii="楷体" w:hAnsi="楷体" w:eastAsia="楷体" w:cs="宋体"/>
          <w:b/>
          <w:color w:val="auto"/>
          <w:sz w:val="32"/>
          <w:szCs w:val="32"/>
          <w:highlight w:val="none"/>
        </w:rPr>
      </w:pPr>
      <w:r>
        <w:rPr>
          <w:rFonts w:hint="eastAsia" w:ascii="楷体" w:hAnsi="楷体" w:eastAsia="楷体" w:cs="宋体"/>
          <w:b/>
          <w:color w:val="auto"/>
          <w:sz w:val="32"/>
          <w:szCs w:val="32"/>
          <w:highlight w:val="none"/>
          <w:lang w:val="en-US" w:eastAsia="zh-CN"/>
        </w:rPr>
        <w:t>(三）</w:t>
      </w:r>
      <w:r>
        <w:rPr>
          <w:rFonts w:hint="eastAsia" w:ascii="楷体" w:hAnsi="楷体" w:eastAsia="楷体" w:cs="宋体"/>
          <w:b/>
          <w:color w:val="auto"/>
          <w:sz w:val="32"/>
          <w:szCs w:val="32"/>
          <w:highlight w:val="none"/>
        </w:rPr>
        <w:t>效益目标</w:t>
      </w:r>
    </w:p>
    <w:p w14:paraId="17C183F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2"/>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(1)</w:t>
      </w:r>
      <w:r>
        <w:rPr>
          <w:rFonts w:hint="eastAsia" w:ascii="仿宋" w:hAnsi="仿宋" w:eastAsia="仿宋" w:cs="宋体"/>
          <w:b/>
          <w:bCs/>
          <w:color w:val="auto"/>
          <w:sz w:val="32"/>
          <w:szCs w:val="32"/>
          <w:highlight w:val="none"/>
          <w:lang w:val="en-US" w:eastAsia="zh-CN"/>
        </w:rPr>
        <w:t>当年利息支付率</w:t>
      </w:r>
    </w:p>
    <w:p w14:paraId="3617F75A">
      <w:pPr>
        <w:numPr>
          <w:ilvl w:val="0"/>
          <w:numId w:val="0"/>
        </w:numPr>
        <w:autoSpaceDE w:val="0"/>
        <w:autoSpaceDN w:val="0"/>
        <w:spacing w:line="600" w:lineRule="exact"/>
        <w:ind w:firstLine="640" w:firstLineChars="200"/>
        <w:jc w:val="both"/>
        <w:rPr>
          <w:rFonts w:hint="eastAsia" w:ascii="仿宋" w:hAnsi="仿宋" w:eastAsia="仿宋" w:cs="宋体"/>
          <w:color w:val="auto"/>
          <w:sz w:val="32"/>
          <w:szCs w:val="32"/>
          <w:highlight w:val="none"/>
          <w:lang w:eastAsia="zh-CN"/>
        </w:rPr>
      </w:pPr>
      <w:r>
        <w:rPr>
          <w:rFonts w:hint="eastAsia" w:ascii="仿宋" w:hAnsi="仿宋" w:eastAsia="仿宋" w:cs="宋体"/>
          <w:color w:val="auto"/>
          <w:sz w:val="32"/>
          <w:szCs w:val="32"/>
          <w:highlight w:val="none"/>
        </w:rPr>
        <w:t>指标目标值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依据2025年苏州高新区2020年以来新增专项债券还本付息付费情况表、银行回单、江苏省非税收入统一票据（电子）。本项目债券利息、发行费、兑付费共上缴27.19万元，其中利息26.15万元，本项目2025年应付2024年9月26日发行债券利息600万元*利率2.17%=13.02万元，应付本年债券利息1300万元*利率2.02%*6/12=13.13万元。利息支付率为（13.02+13.13）/26.15=100%</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得分为7.50*100%=7.50分。</w:t>
      </w:r>
    </w:p>
    <w:p w14:paraId="771E5CC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2"/>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(2)</w:t>
      </w:r>
      <w:r>
        <w:rPr>
          <w:rFonts w:hint="eastAsia" w:ascii="仿宋" w:hAnsi="仿宋" w:eastAsia="仿宋" w:cs="宋体"/>
          <w:b/>
          <w:bCs/>
          <w:color w:val="auto"/>
          <w:sz w:val="32"/>
          <w:szCs w:val="32"/>
          <w:highlight w:val="none"/>
          <w:lang w:val="en-US" w:eastAsia="zh-CN"/>
        </w:rPr>
        <w:t>无重大安全事故发生率</w:t>
      </w:r>
    </w:p>
    <w:p w14:paraId="58890942">
      <w:pPr>
        <w:numPr>
          <w:ilvl w:val="0"/>
          <w:numId w:val="0"/>
        </w:numPr>
        <w:autoSpaceDE w:val="0"/>
        <w:autoSpaceDN w:val="0"/>
        <w:spacing w:line="600" w:lineRule="exact"/>
        <w:ind w:firstLine="640" w:firstLineChars="200"/>
        <w:jc w:val="both"/>
        <w:rPr>
          <w:rFonts w:hint="eastAsia"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rPr>
        <w:t>指标目标值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rPr>
        <w:t>。依据工程管理部建设项目现场检查表、建设项目无安全质量事故情况说明，无重大安全事故发生</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得分为7.50*100%=7.50分。</w:t>
      </w:r>
    </w:p>
    <w:p w14:paraId="4A3EC8F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2"/>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bidi="ar-SA"/>
        </w:rPr>
        <w:t>3</w:t>
      </w:r>
      <w:r>
        <w:rPr>
          <w:rFonts w:hint="default" w:ascii="仿宋" w:hAnsi="仿宋" w:eastAsia="仿宋" w:cs="宋体"/>
          <w:b/>
          <w:bCs/>
          <w:color w:val="auto"/>
          <w:sz w:val="32"/>
          <w:szCs w:val="32"/>
          <w:highlight w:val="none"/>
          <w:lang w:val="en-US" w:eastAsia="zh-CN" w:bidi="ar-SA"/>
        </w:rPr>
        <w:t>)</w:t>
      </w:r>
      <w:r>
        <w:rPr>
          <w:rFonts w:hint="eastAsia" w:ascii="仿宋" w:hAnsi="仿宋" w:eastAsia="仿宋" w:cs="宋体"/>
          <w:b/>
          <w:bCs/>
          <w:color w:val="auto"/>
          <w:sz w:val="32"/>
          <w:szCs w:val="32"/>
          <w:highlight w:val="none"/>
          <w:lang w:val="en-US" w:eastAsia="zh-CN"/>
        </w:rPr>
        <w:t>无环保事件发生率</w:t>
      </w:r>
    </w:p>
    <w:p w14:paraId="6F2391F0">
      <w:pPr>
        <w:numPr>
          <w:ilvl w:val="0"/>
          <w:numId w:val="0"/>
        </w:numPr>
        <w:autoSpaceDE w:val="0"/>
        <w:autoSpaceDN w:val="0"/>
        <w:spacing w:line="600" w:lineRule="exact"/>
        <w:ind w:firstLine="640" w:firstLineChars="200"/>
        <w:jc w:val="both"/>
        <w:rPr>
          <w:rFonts w:hint="eastAsia" w:ascii="仿宋" w:hAnsi="仿宋" w:eastAsia="仿宋" w:cs="宋体"/>
          <w:color w:val="auto"/>
          <w:sz w:val="32"/>
          <w:szCs w:val="32"/>
          <w:highlight w:val="none"/>
        </w:rPr>
      </w:pPr>
      <w:r>
        <w:rPr>
          <w:rFonts w:hint="eastAsia" w:ascii="仿宋" w:hAnsi="仿宋" w:eastAsia="仿宋" w:cs="宋体"/>
          <w:color w:val="auto"/>
          <w:sz w:val="32"/>
          <w:szCs w:val="32"/>
          <w:highlight w:val="none"/>
        </w:rPr>
        <w:t>指标目标值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100%</w:t>
      </w:r>
      <w:r>
        <w:rPr>
          <w:rFonts w:hint="eastAsia" w:ascii="仿宋" w:hAnsi="仿宋" w:eastAsia="仿宋" w:cs="宋体"/>
          <w:color w:val="auto"/>
          <w:sz w:val="32"/>
          <w:szCs w:val="32"/>
          <w:highlight w:val="none"/>
        </w:rPr>
        <w:t>。依据建设项目无环境污染情况说明，无环保事件发生</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得分为7.50*100%=7.50分。</w:t>
      </w:r>
    </w:p>
    <w:p w14:paraId="06B90F3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0" w:leftChars="0" w:firstLine="643" w:firstLineChars="200"/>
        <w:textAlignment w:val="auto"/>
        <w:outlineLvl w:val="2"/>
        <w:rPr>
          <w:rFonts w:hint="eastAsia" w:ascii="仿宋" w:hAnsi="仿宋" w:eastAsia="仿宋" w:cs="宋体"/>
          <w:b/>
          <w:bCs/>
          <w:color w:val="auto"/>
          <w:sz w:val="32"/>
          <w:szCs w:val="32"/>
          <w:highlight w:val="none"/>
          <w:lang w:val="en-US" w:eastAsia="zh-CN"/>
        </w:rPr>
      </w:pPr>
      <w:r>
        <w:rPr>
          <w:rFonts w:hint="default" w:ascii="仿宋" w:hAnsi="仿宋" w:eastAsia="仿宋" w:cs="宋体"/>
          <w:b/>
          <w:bCs/>
          <w:color w:val="auto"/>
          <w:sz w:val="32"/>
          <w:szCs w:val="32"/>
          <w:highlight w:val="none"/>
          <w:lang w:val="en-US" w:eastAsia="zh-CN" w:bidi="ar-SA"/>
        </w:rPr>
        <w:t>(5)</w:t>
      </w:r>
      <w:r>
        <w:rPr>
          <w:rFonts w:hint="eastAsia" w:ascii="仿宋" w:hAnsi="仿宋" w:eastAsia="仿宋" w:cs="宋体"/>
          <w:b/>
          <w:bCs/>
          <w:color w:val="auto"/>
          <w:sz w:val="32"/>
          <w:szCs w:val="32"/>
          <w:highlight w:val="none"/>
          <w:lang w:val="en-US" w:eastAsia="zh-CN"/>
        </w:rPr>
        <w:t>运维管理机制</w:t>
      </w:r>
    </w:p>
    <w:p w14:paraId="20B76486">
      <w:pPr>
        <w:numPr>
          <w:ilvl w:val="0"/>
          <w:numId w:val="0"/>
        </w:numPr>
        <w:autoSpaceDE w:val="0"/>
        <w:autoSpaceDN w:val="0"/>
        <w:spacing w:line="600" w:lineRule="exact"/>
        <w:ind w:firstLine="640" w:firstLineChars="200"/>
        <w:jc w:val="both"/>
        <w:rPr>
          <w:rFonts w:hint="default"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lang w:val="en-US" w:eastAsia="zh-CN"/>
        </w:rPr>
        <w:t>指标目标值建立并执行，</w:t>
      </w:r>
      <w:r>
        <w:rPr>
          <w:rFonts w:hint="eastAsia" w:ascii="仿宋" w:hAnsi="仿宋" w:eastAsia="仿宋" w:cs="宋体"/>
          <w:color w:val="auto"/>
          <w:sz w:val="32"/>
          <w:szCs w:val="32"/>
          <w:highlight w:val="none"/>
        </w:rPr>
        <w:t>实际完成值</w:t>
      </w:r>
      <w:r>
        <w:rPr>
          <w:rFonts w:hint="eastAsia" w:ascii="仿宋" w:hAnsi="仿宋" w:eastAsia="仿宋" w:cs="宋体"/>
          <w:color w:val="auto"/>
          <w:sz w:val="32"/>
          <w:szCs w:val="32"/>
          <w:highlight w:val="none"/>
          <w:lang w:val="en-US" w:eastAsia="zh-CN"/>
        </w:rPr>
        <w:t>建立并执行。依据《工程管理部室外管道运行巡检管理细则》、《工程管理部设施设备维护管理细则》，运维制度已建立，由于项目2025年12月22日验收，且处于缺陷责任期内，暂未形成运维记录</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得分为7.50*100%=7.50分。</w:t>
      </w:r>
    </w:p>
    <w:p w14:paraId="5EA713A8">
      <w:pPr>
        <w:numPr>
          <w:ilvl w:val="0"/>
          <w:numId w:val="4"/>
        </w:numPr>
        <w:autoSpaceDE w:val="0"/>
        <w:autoSpaceDN w:val="0"/>
        <w:spacing w:line="600" w:lineRule="exact"/>
        <w:ind w:firstLine="643" w:firstLineChars="200"/>
        <w:outlineLvl w:val="1"/>
        <w:rPr>
          <w:rFonts w:hint="default" w:ascii="楷体" w:hAnsi="楷体" w:eastAsia="楷体" w:cs="宋体"/>
          <w:b/>
          <w:color w:val="auto"/>
          <w:sz w:val="32"/>
          <w:szCs w:val="32"/>
          <w:highlight w:val="none"/>
          <w:lang w:val="en-US" w:eastAsia="zh-CN" w:bidi="ar-SA"/>
        </w:rPr>
      </w:pPr>
      <w:r>
        <w:rPr>
          <w:rFonts w:hint="eastAsia" w:ascii="楷体" w:hAnsi="楷体" w:eastAsia="楷体" w:cs="宋体"/>
          <w:b/>
          <w:color w:val="auto"/>
          <w:sz w:val="32"/>
          <w:szCs w:val="32"/>
          <w:highlight w:val="none"/>
          <w:lang w:val="en-US" w:eastAsia="zh-CN" w:bidi="ar-SA"/>
        </w:rPr>
        <w:t>参建单位满意度</w:t>
      </w:r>
    </w:p>
    <w:p w14:paraId="292B0C94">
      <w:pPr>
        <w:numPr>
          <w:ilvl w:val="0"/>
          <w:numId w:val="0"/>
        </w:numPr>
        <w:autoSpaceDE w:val="0"/>
        <w:autoSpaceDN w:val="0"/>
        <w:spacing w:line="600" w:lineRule="exact"/>
        <w:ind w:firstLine="640" w:firstLineChars="200"/>
        <w:jc w:val="both"/>
        <w:rPr>
          <w:rFonts w:hint="default" w:ascii="仿宋" w:hAnsi="仿宋" w:eastAsia="仿宋" w:cs="宋体"/>
          <w:color w:val="auto"/>
          <w:sz w:val="32"/>
          <w:szCs w:val="32"/>
          <w:highlight w:val="none"/>
          <w:lang w:val="en-US" w:eastAsia="zh-CN"/>
        </w:rPr>
      </w:pPr>
      <w:r>
        <w:rPr>
          <w:rFonts w:hint="eastAsia" w:ascii="仿宋" w:hAnsi="仿宋" w:eastAsia="仿宋" w:cs="宋体"/>
          <w:color w:val="auto"/>
          <w:sz w:val="32"/>
          <w:szCs w:val="32"/>
          <w:highlight w:val="none"/>
          <w:lang w:val="en-US" w:eastAsia="zh-CN"/>
        </w:rPr>
        <w:t>指标目标值90%，实际完成值98.57%。依据苏州高新区太湖科学城功能片区转供水管网改造提升工程项目满意度调查方案、调查问卷、调查报告，项目单位共发放15份满意度问卷，对参建单位进行满意度调查，设置对项目的整体合作体验、项目资金付款的及时性、对现场施工条件的保障是否满意等5个问题，满意度为98.57%</w:t>
      </w:r>
      <w:r>
        <w:rPr>
          <w:rFonts w:hint="eastAsia" w:ascii="仿宋" w:hAnsi="仿宋" w:eastAsia="仿宋" w:cs="宋体"/>
          <w:color w:val="auto"/>
          <w:sz w:val="32"/>
          <w:szCs w:val="32"/>
          <w:highlight w:val="none"/>
          <w:lang w:eastAsia="zh-CN"/>
        </w:rPr>
        <w:t>，</w:t>
      </w:r>
      <w:r>
        <w:rPr>
          <w:rFonts w:hint="eastAsia" w:ascii="仿宋" w:hAnsi="仿宋" w:eastAsia="仿宋" w:cs="宋体"/>
          <w:color w:val="auto"/>
          <w:sz w:val="32"/>
          <w:szCs w:val="32"/>
          <w:highlight w:val="none"/>
          <w:lang w:val="en-US" w:eastAsia="zh-CN"/>
        </w:rPr>
        <w:t>得分为10*100%=10.00分。</w:t>
      </w:r>
    </w:p>
    <w:p w14:paraId="6B0A7ECF">
      <w:pPr>
        <w:numPr>
          <w:ilvl w:val="0"/>
          <w:numId w:val="1"/>
        </w:numPr>
        <w:autoSpaceDE w:val="0"/>
        <w:autoSpaceDN w:val="0"/>
        <w:spacing w:line="600" w:lineRule="exact"/>
        <w:jc w:val="both"/>
        <w:outlineLvl w:val="0"/>
        <w:rPr>
          <w:rFonts w:hint="eastAsia" w:ascii="黑体" w:hAnsi="黑体" w:eastAsia="黑体" w:cs="宋体"/>
          <w:b/>
          <w:color w:val="auto"/>
          <w:kern w:val="2"/>
          <w:sz w:val="32"/>
          <w:szCs w:val="32"/>
          <w:highlight w:val="none"/>
          <w:lang w:eastAsia="zh-CN"/>
        </w:rPr>
      </w:pPr>
      <w:r>
        <w:rPr>
          <w:rFonts w:hint="eastAsia" w:ascii="黑体" w:hAnsi="黑体" w:eastAsia="黑体" w:cs="宋体"/>
          <w:b/>
          <w:color w:val="auto"/>
          <w:kern w:val="2"/>
          <w:sz w:val="32"/>
          <w:szCs w:val="32"/>
          <w:highlight w:val="none"/>
          <w:lang w:eastAsia="zh-CN"/>
        </w:rPr>
        <w:t>存在问题</w:t>
      </w:r>
    </w:p>
    <w:p w14:paraId="2C7A0D13">
      <w:pPr>
        <w:keepNext w:val="0"/>
        <w:keepLines w:val="0"/>
        <w:pageBreakBefore w:val="0"/>
        <w:widowControl w:val="0"/>
        <w:numPr>
          <w:ilvl w:val="0"/>
          <w:numId w:val="5"/>
        </w:numPr>
        <w:kinsoku/>
        <w:wordWrap/>
        <w:overflowPunct/>
        <w:topLinePunct w:val="0"/>
        <w:autoSpaceDE w:val="0"/>
        <w:autoSpaceDN w:val="0"/>
        <w:bidi w:val="0"/>
        <w:adjustRightInd/>
        <w:snapToGrid/>
        <w:spacing w:line="600" w:lineRule="exact"/>
        <w:ind w:left="0" w:leftChars="0" w:firstLine="640" w:firstLineChars="200"/>
        <w:jc w:val="both"/>
        <w:textAlignment w:val="auto"/>
        <w:rPr>
          <w:rFonts w:hint="eastAsia" w:ascii="仿宋" w:hAnsi="仿宋" w:eastAsia="仿宋" w:cs="宋体"/>
          <w:color w:val="auto"/>
          <w:kern w:val="2"/>
          <w:sz w:val="32"/>
          <w:szCs w:val="32"/>
          <w:highlight w:val="none"/>
          <w:lang w:val="en-US" w:eastAsia="zh-CN"/>
        </w:rPr>
      </w:pPr>
      <w:r>
        <w:rPr>
          <w:rFonts w:hint="eastAsia" w:ascii="仿宋" w:hAnsi="仿宋" w:eastAsia="仿宋" w:cs="宋体"/>
          <w:color w:val="auto"/>
          <w:kern w:val="2"/>
          <w:sz w:val="32"/>
          <w:szCs w:val="32"/>
          <w:highlight w:val="none"/>
          <w:lang w:val="en-US" w:eastAsia="zh-CN"/>
        </w:rPr>
        <w:t>部分指标完成值与目标值相差较大，如产出指标更换居民水表2000块，实际完成5301块，由于部分区域存在拆迁实施的不确定性，且前期设计深度不够存在遗漏区域，为避免目标值设置过高导致后续无法完成，填报目标值时仅按可确定实施的范围进行了预估。</w:t>
      </w:r>
    </w:p>
    <w:p w14:paraId="273179A5">
      <w:pPr>
        <w:keepNext w:val="0"/>
        <w:keepLines w:val="0"/>
        <w:pageBreakBefore w:val="0"/>
        <w:widowControl w:val="0"/>
        <w:numPr>
          <w:ilvl w:val="0"/>
          <w:numId w:val="5"/>
        </w:numPr>
        <w:kinsoku/>
        <w:wordWrap/>
        <w:overflowPunct/>
        <w:topLinePunct w:val="0"/>
        <w:autoSpaceDE w:val="0"/>
        <w:autoSpaceDN w:val="0"/>
        <w:bidi w:val="0"/>
        <w:adjustRightInd/>
        <w:snapToGrid/>
        <w:spacing w:line="600" w:lineRule="exact"/>
        <w:ind w:left="0" w:leftChars="0" w:firstLine="640" w:firstLineChars="200"/>
        <w:jc w:val="both"/>
        <w:textAlignment w:val="auto"/>
        <w:rPr>
          <w:rFonts w:hint="eastAsia" w:ascii="仿宋" w:hAnsi="仿宋" w:eastAsia="仿宋" w:cs="宋体"/>
          <w:color w:val="auto"/>
          <w:kern w:val="2"/>
          <w:sz w:val="32"/>
          <w:szCs w:val="32"/>
          <w:highlight w:val="none"/>
          <w:lang w:eastAsia="zh-CN"/>
        </w:rPr>
      </w:pPr>
      <w:r>
        <w:rPr>
          <w:rFonts w:hint="eastAsia" w:ascii="仿宋" w:hAnsi="仿宋" w:eastAsia="仿宋" w:cs="宋体"/>
          <w:color w:val="auto"/>
          <w:kern w:val="2"/>
          <w:sz w:val="32"/>
          <w:szCs w:val="32"/>
          <w:highlight w:val="none"/>
          <w:lang w:val="en-US" w:eastAsia="zh-CN"/>
        </w:rPr>
        <w:t>工程成本控制有待进一步加强，虽然监理合同价未超概算，但挂网招标控制价超过标底；代建合同价超过概算金额</w:t>
      </w:r>
      <w:r>
        <w:rPr>
          <w:rFonts w:hint="eastAsia" w:ascii="仿宋" w:hAnsi="仿宋" w:eastAsia="仿宋" w:cs="宋体"/>
          <w:color w:val="auto"/>
          <w:kern w:val="2"/>
          <w:sz w:val="32"/>
          <w:szCs w:val="32"/>
          <w:highlight w:val="none"/>
          <w:lang w:eastAsia="zh-CN"/>
        </w:rPr>
        <w:t>。</w:t>
      </w:r>
    </w:p>
    <w:p w14:paraId="3BBC52FF">
      <w:pPr>
        <w:numPr>
          <w:ilvl w:val="0"/>
          <w:numId w:val="1"/>
        </w:numPr>
        <w:autoSpaceDE w:val="0"/>
        <w:autoSpaceDN w:val="0"/>
        <w:spacing w:line="600" w:lineRule="exact"/>
        <w:jc w:val="both"/>
        <w:outlineLvl w:val="0"/>
        <w:rPr>
          <w:rFonts w:hint="eastAsia" w:ascii="黑体" w:hAnsi="黑体" w:eastAsia="黑体" w:cs="宋体"/>
          <w:b/>
          <w:color w:val="auto"/>
          <w:kern w:val="2"/>
          <w:sz w:val="32"/>
          <w:szCs w:val="32"/>
          <w:highlight w:val="none"/>
          <w:lang w:val="en-US" w:eastAsia="zh-CN"/>
        </w:rPr>
      </w:pPr>
      <w:r>
        <w:rPr>
          <w:rFonts w:hint="eastAsia" w:ascii="黑体" w:hAnsi="黑体" w:eastAsia="黑体" w:cs="宋体"/>
          <w:b/>
          <w:color w:val="auto"/>
          <w:kern w:val="2"/>
          <w:sz w:val="32"/>
          <w:szCs w:val="32"/>
          <w:highlight w:val="none"/>
          <w:lang w:eastAsia="zh-CN"/>
        </w:rPr>
        <w:t>有关建议</w:t>
      </w:r>
    </w:p>
    <w:p w14:paraId="51B6502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jc w:val="both"/>
        <w:textAlignment w:val="auto"/>
        <w:rPr>
          <w:rFonts w:hint="default" w:ascii="仿宋" w:hAnsi="仿宋" w:eastAsia="仿宋" w:cs="宋体"/>
          <w:color w:val="auto"/>
          <w:kern w:val="2"/>
          <w:sz w:val="32"/>
          <w:szCs w:val="32"/>
          <w:highlight w:val="none"/>
          <w:lang w:val="en-US" w:eastAsia="zh-CN" w:bidi="ar-SA"/>
        </w:rPr>
      </w:pPr>
      <w:r>
        <w:rPr>
          <w:rFonts w:hint="eastAsia" w:ascii="仿宋" w:hAnsi="仿宋" w:eastAsia="仿宋" w:cs="宋体"/>
          <w:color w:val="auto"/>
          <w:kern w:val="2"/>
          <w:sz w:val="32"/>
          <w:szCs w:val="32"/>
          <w:highlight w:val="none"/>
          <w:lang w:val="en-US" w:eastAsia="zh-CN" w:bidi="ar-SA"/>
        </w:rPr>
        <w:t>（一）建议进一步规范绩效目标设定，深入开展项目前期现场摸排和方案深化设计，精准摸清项目实际建设范围与体量。并优化目标值测算方法，结合项目实施条件科学核定指标目标，有效缩小目标值与实际完成值偏差，切实提升绩效评价的客观真实性。</w:t>
      </w:r>
    </w:p>
    <w:p w14:paraId="63A3024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jc w:val="both"/>
        <w:textAlignment w:val="auto"/>
        <w:rPr>
          <w:rFonts w:hint="eastAsia" w:ascii="仿宋" w:hAnsi="仿宋" w:eastAsia="仿宋" w:cs="宋体"/>
          <w:color w:val="auto"/>
          <w:kern w:val="2"/>
          <w:sz w:val="32"/>
          <w:szCs w:val="32"/>
          <w:highlight w:val="none"/>
          <w:lang w:val="en-US" w:eastAsia="zh-CN" w:bidi="ar-SA"/>
        </w:rPr>
      </w:pPr>
      <w:r>
        <w:rPr>
          <w:rFonts w:hint="eastAsia" w:ascii="仿宋" w:hAnsi="仿宋" w:eastAsia="仿宋" w:cs="宋体"/>
          <w:color w:val="auto"/>
          <w:kern w:val="2"/>
          <w:sz w:val="32"/>
          <w:szCs w:val="32"/>
          <w:highlight w:val="none"/>
          <w:lang w:val="en-US" w:eastAsia="zh-CN" w:bidi="ar-SA"/>
        </w:rPr>
        <w:t>（二）建议严格把控工程造价管控全流程，规范预算编制与合同定价管理。定期对工程成本进行核算和分析，及时发现偏差并采取措施纠正。</w:t>
      </w:r>
    </w:p>
    <w:p w14:paraId="5DEA415C">
      <w:pPr>
        <w:numPr>
          <w:ilvl w:val="0"/>
          <w:numId w:val="1"/>
        </w:numPr>
        <w:autoSpaceDE w:val="0"/>
        <w:autoSpaceDN w:val="0"/>
        <w:spacing w:line="600" w:lineRule="exact"/>
        <w:jc w:val="both"/>
        <w:outlineLvl w:val="0"/>
        <w:rPr>
          <w:rFonts w:hint="eastAsia" w:ascii="黑体" w:hAnsi="黑体" w:eastAsia="黑体" w:cs="宋体"/>
          <w:b/>
          <w:color w:val="auto"/>
          <w:kern w:val="2"/>
          <w:sz w:val="32"/>
          <w:szCs w:val="32"/>
          <w:highlight w:val="none"/>
          <w:lang w:eastAsia="zh-CN"/>
        </w:rPr>
      </w:pPr>
      <w:r>
        <w:rPr>
          <w:rFonts w:hint="eastAsia" w:ascii="黑体" w:hAnsi="黑体" w:eastAsia="黑体" w:cs="宋体"/>
          <w:b/>
          <w:color w:val="auto"/>
          <w:kern w:val="2"/>
          <w:sz w:val="32"/>
          <w:szCs w:val="32"/>
          <w:highlight w:val="none"/>
          <w:lang w:eastAsia="zh-CN"/>
        </w:rPr>
        <w:t>附件</w:t>
      </w:r>
    </w:p>
    <w:tbl>
      <w:tblPr>
        <w:tblStyle w:val="9"/>
        <w:tblW w:w="871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7"/>
        <w:gridCol w:w="1293"/>
        <w:gridCol w:w="2004"/>
        <w:gridCol w:w="1370"/>
        <w:gridCol w:w="1356"/>
        <w:gridCol w:w="785"/>
        <w:gridCol w:w="903"/>
      </w:tblGrid>
      <w:tr w14:paraId="6C9F6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blHeader/>
        </w:trPr>
        <w:tc>
          <w:tcPr>
            <w:tcW w:w="1007" w:type="dxa"/>
            <w:vMerge w:val="restar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2BC79D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一级</w:t>
            </w:r>
          </w:p>
          <w:p w14:paraId="239EC2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指标</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22E43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二级指标</w:t>
            </w:r>
          </w:p>
        </w:tc>
        <w:tc>
          <w:tcPr>
            <w:tcW w:w="6418" w:type="dxa"/>
            <w:gridSpan w:val="5"/>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B1EEF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评价年度绩效目标自评完成情况</w:t>
            </w:r>
          </w:p>
        </w:tc>
      </w:tr>
      <w:tr w14:paraId="2AFF3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blHead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0AE19">
            <w:pPr>
              <w:jc w:val="center"/>
              <w:rPr>
                <w:rFonts w:hint="eastAsia" w:ascii="宋体" w:hAnsi="宋体" w:eastAsia="宋体" w:cs="宋体"/>
                <w:i w:val="0"/>
                <w:iCs w:val="0"/>
                <w:color w:val="auto"/>
                <w:sz w:val="22"/>
                <w:szCs w:val="22"/>
                <w:highlight w:val="none"/>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F2B1D9F">
            <w:pPr>
              <w:jc w:val="center"/>
              <w:rPr>
                <w:rFonts w:hint="eastAsia" w:ascii="宋体" w:hAnsi="宋体" w:eastAsia="宋体" w:cs="宋体"/>
                <w:i w:val="0"/>
                <w:iCs w:val="0"/>
                <w:color w:val="auto"/>
                <w:sz w:val="22"/>
                <w:szCs w:val="22"/>
                <w:highlight w:val="none"/>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69F1F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三级指标</w:t>
            </w:r>
          </w:p>
        </w:tc>
        <w:tc>
          <w:tcPr>
            <w:tcW w:w="1370"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F4FE5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年度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指标值</w:t>
            </w:r>
          </w:p>
        </w:tc>
        <w:tc>
          <w:tcPr>
            <w:tcW w:w="13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20417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实际</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完成值</w:t>
            </w:r>
          </w:p>
        </w:tc>
        <w:tc>
          <w:tcPr>
            <w:tcW w:w="78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11C8E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分值</w:t>
            </w:r>
          </w:p>
        </w:tc>
        <w:tc>
          <w:tcPr>
            <w:tcW w:w="90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2C06C4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得分</w:t>
            </w:r>
          </w:p>
        </w:tc>
      </w:tr>
      <w:tr w14:paraId="14C3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0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48D5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Style w:val="20"/>
                <w:color w:val="auto"/>
                <w:highlight w:val="none"/>
                <w:lang w:val="en-US" w:eastAsia="zh-CN" w:bidi="ar"/>
              </w:rPr>
              <w:t>过程</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924F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资金管理</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53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资金到位率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32B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558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B88D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20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7.50</w:t>
            </w:r>
          </w:p>
        </w:tc>
      </w:tr>
      <w:tr w14:paraId="7DC45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4FDE9">
            <w:pPr>
              <w:jc w:val="center"/>
              <w:rPr>
                <w:rFonts w:hint="default" w:ascii="Times New Roman" w:hAnsi="Times New Roman" w:eastAsia="宋体" w:cs="Times New Roman"/>
                <w:i w:val="0"/>
                <w:iCs w:val="0"/>
                <w:color w:val="auto"/>
                <w:sz w:val="22"/>
                <w:szCs w:val="22"/>
                <w:highlight w:val="none"/>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56594">
            <w:pPr>
              <w:jc w:val="center"/>
              <w:rPr>
                <w:rFonts w:hint="default" w:ascii="Times New Roman" w:hAnsi="Times New Roman" w:eastAsia="宋体" w:cs="Times New Roman"/>
                <w:i w:val="0"/>
                <w:iCs w:val="0"/>
                <w:color w:val="auto"/>
                <w:sz w:val="22"/>
                <w:szCs w:val="22"/>
                <w:highlight w:val="none"/>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5538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资金执行率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FAC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FC3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61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07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7.50</w:t>
            </w:r>
          </w:p>
        </w:tc>
      </w:tr>
      <w:tr w14:paraId="7DA7E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079FB">
            <w:pPr>
              <w:jc w:val="center"/>
              <w:rPr>
                <w:rFonts w:hint="default" w:ascii="Times New Roman" w:hAnsi="Times New Roman" w:eastAsia="宋体" w:cs="Times New Roman"/>
                <w:i w:val="0"/>
                <w:iCs w:val="0"/>
                <w:color w:val="auto"/>
                <w:sz w:val="22"/>
                <w:szCs w:val="22"/>
                <w:highlight w:val="none"/>
                <w:u w:val="none"/>
              </w:rPr>
            </w:pP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3397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组织实施</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3A1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管理制度健全性</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779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合规</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AA1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合规</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219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E9B9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7.50</w:t>
            </w:r>
          </w:p>
        </w:tc>
      </w:tr>
      <w:tr w14:paraId="0419A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3016D">
            <w:pPr>
              <w:jc w:val="center"/>
              <w:rPr>
                <w:rFonts w:hint="default" w:ascii="Times New Roman" w:hAnsi="Times New Roman" w:eastAsia="宋体" w:cs="Times New Roman"/>
                <w:i w:val="0"/>
                <w:iCs w:val="0"/>
                <w:color w:val="auto"/>
                <w:sz w:val="22"/>
                <w:szCs w:val="22"/>
                <w:highlight w:val="none"/>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2C2D6">
            <w:pPr>
              <w:jc w:val="center"/>
              <w:rPr>
                <w:rFonts w:hint="default" w:ascii="Times New Roman" w:hAnsi="Times New Roman" w:eastAsia="宋体" w:cs="Times New Roman"/>
                <w:i w:val="0"/>
                <w:iCs w:val="0"/>
                <w:color w:val="auto"/>
                <w:sz w:val="22"/>
                <w:szCs w:val="22"/>
                <w:highlight w:val="none"/>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781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制度执行有效性</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2E70">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有效</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6E37">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部分达成并有一定效果</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CF1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0727F">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auto"/>
                <w:sz w:val="22"/>
                <w:szCs w:val="22"/>
                <w:highlight w:val="none"/>
                <w:u w:val="none"/>
                <w:lang w:val="en-US" w:eastAsia="zh-CN" w:bidi="ar-SA"/>
              </w:rPr>
              <w:t>5.25</w:t>
            </w:r>
          </w:p>
        </w:tc>
      </w:tr>
      <w:tr w14:paraId="0FFC8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8F45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Style w:val="20"/>
                <w:color w:val="auto"/>
                <w:highlight w:val="none"/>
                <w:lang w:val="en-US" w:eastAsia="zh-CN" w:bidi="ar"/>
              </w:rPr>
              <w:t>产出</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7CB8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数量指标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FC7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改建居民供水管道50公里</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A11A">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完成</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B6B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51.46公里</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CC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D8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w:t>
            </w:r>
          </w:p>
        </w:tc>
      </w:tr>
      <w:tr w14:paraId="5F288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70664">
            <w:pPr>
              <w:jc w:val="center"/>
              <w:rPr>
                <w:rFonts w:hint="default" w:ascii="Times New Roman" w:hAnsi="Times New Roman" w:eastAsia="宋体" w:cs="Times New Roman"/>
                <w:i w:val="0"/>
                <w:iCs w:val="0"/>
                <w:color w:val="auto"/>
                <w:sz w:val="22"/>
                <w:szCs w:val="22"/>
                <w:highlight w:val="none"/>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A5EBC">
            <w:pPr>
              <w:jc w:val="center"/>
              <w:rPr>
                <w:rFonts w:hint="default" w:ascii="Times New Roman" w:hAnsi="Times New Roman" w:eastAsia="宋体" w:cs="Times New Roman"/>
                <w:i w:val="0"/>
                <w:iCs w:val="0"/>
                <w:color w:val="auto"/>
                <w:sz w:val="22"/>
                <w:szCs w:val="22"/>
                <w:highlight w:val="none"/>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C3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更换居民水表2000块</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8C9F">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完成</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B88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5301块</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8A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477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0.00</w:t>
            </w:r>
          </w:p>
        </w:tc>
      </w:tr>
      <w:tr w14:paraId="773E2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E2A7A">
            <w:pPr>
              <w:jc w:val="center"/>
              <w:rPr>
                <w:rFonts w:hint="default" w:ascii="Times New Roman" w:hAnsi="Times New Roman" w:eastAsia="宋体" w:cs="Times New Roman"/>
                <w:i w:val="0"/>
                <w:iCs w:val="0"/>
                <w:color w:val="auto"/>
                <w:sz w:val="22"/>
                <w:szCs w:val="22"/>
                <w:highlight w:val="none"/>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2524C">
            <w:pPr>
              <w:jc w:val="center"/>
              <w:rPr>
                <w:rFonts w:hint="default" w:ascii="Times New Roman" w:hAnsi="Times New Roman" w:eastAsia="宋体" w:cs="Times New Roman"/>
                <w:i w:val="0"/>
                <w:iCs w:val="0"/>
                <w:color w:val="auto"/>
                <w:sz w:val="22"/>
                <w:szCs w:val="22"/>
                <w:highlight w:val="none"/>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F7D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项目竣工验收</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A34F">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完成</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2D01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完成</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670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0F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w:t>
            </w:r>
          </w:p>
        </w:tc>
      </w:tr>
      <w:tr w14:paraId="70144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5ADDB">
            <w:pPr>
              <w:jc w:val="center"/>
              <w:rPr>
                <w:rFonts w:hint="default" w:ascii="Times New Roman" w:hAnsi="Times New Roman" w:eastAsia="宋体" w:cs="Times New Roman"/>
                <w:i w:val="0"/>
                <w:iCs w:val="0"/>
                <w:color w:val="auto"/>
                <w:sz w:val="22"/>
                <w:szCs w:val="22"/>
                <w:highlight w:val="none"/>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4FE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质量指标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B64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监理工作开展率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EBF1">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16C8">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041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401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w:t>
            </w:r>
          </w:p>
        </w:tc>
      </w:tr>
      <w:tr w14:paraId="4F2A1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9A913">
            <w:pPr>
              <w:jc w:val="center"/>
              <w:rPr>
                <w:rFonts w:hint="default" w:ascii="Times New Roman" w:hAnsi="Times New Roman" w:eastAsia="宋体" w:cs="Times New Roman"/>
                <w:i w:val="0"/>
                <w:iCs w:val="0"/>
                <w:color w:val="auto"/>
                <w:sz w:val="22"/>
                <w:szCs w:val="22"/>
                <w:highlight w:val="none"/>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2CA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时效指标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A2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项目竣工及时性</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E7A2">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及时</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790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及时</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22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CEE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5.00</w:t>
            </w:r>
          </w:p>
        </w:tc>
      </w:tr>
      <w:tr w14:paraId="3D9DA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1F93B">
            <w:pPr>
              <w:jc w:val="center"/>
              <w:rPr>
                <w:rFonts w:hint="default" w:ascii="Times New Roman" w:hAnsi="Times New Roman" w:eastAsia="宋体" w:cs="Times New Roman"/>
                <w:i w:val="0"/>
                <w:iCs w:val="0"/>
                <w:color w:val="auto"/>
                <w:sz w:val="22"/>
                <w:szCs w:val="22"/>
                <w:highlight w:val="none"/>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883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成本指标</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A13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成本控制率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5136">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9CB8">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5EB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E6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4.00</w:t>
            </w:r>
          </w:p>
        </w:tc>
      </w:tr>
      <w:tr w14:paraId="56995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 w:hRule="atLeast"/>
        </w:trPr>
        <w:tc>
          <w:tcPr>
            <w:tcW w:w="10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A01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效益</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293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经济效益</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D9D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当年利息支付率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3570">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FFC0">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E9F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CADE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7.50</w:t>
            </w:r>
          </w:p>
        </w:tc>
      </w:tr>
      <w:tr w14:paraId="19140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C0CDF">
            <w:pPr>
              <w:jc w:val="center"/>
              <w:rPr>
                <w:rFonts w:hint="eastAsia" w:ascii="宋体" w:hAnsi="宋体" w:eastAsia="宋体" w:cs="宋体"/>
                <w:i w:val="0"/>
                <w:iCs w:val="0"/>
                <w:color w:val="auto"/>
                <w:sz w:val="22"/>
                <w:szCs w:val="22"/>
                <w:highlight w:val="none"/>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01A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社会效益</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D4E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无重大安全事故发生率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AC24">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B277">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B2C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29C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7.50</w:t>
            </w:r>
          </w:p>
        </w:tc>
      </w:tr>
      <w:tr w14:paraId="441A1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116FD">
            <w:pPr>
              <w:jc w:val="center"/>
              <w:rPr>
                <w:rFonts w:hint="eastAsia" w:ascii="宋体" w:hAnsi="宋体" w:eastAsia="宋体" w:cs="宋体"/>
                <w:i w:val="0"/>
                <w:iCs w:val="0"/>
                <w:color w:val="auto"/>
                <w:sz w:val="22"/>
                <w:szCs w:val="22"/>
                <w:highlight w:val="none"/>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C2C4">
            <w:pPr>
              <w:keepNext w:val="0"/>
              <w:keepLines w:val="0"/>
              <w:widowControl/>
              <w:suppressLineNumbers w:val="0"/>
              <w:jc w:val="center"/>
              <w:textAlignment w:val="center"/>
              <w:rPr>
                <w:rStyle w:val="20"/>
                <w:color w:val="auto"/>
                <w:highlight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生态效益</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DC3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无环保事件发生率</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0C1F">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58D4">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7EF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AEA3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7.50</w:t>
            </w:r>
          </w:p>
        </w:tc>
      </w:tr>
      <w:tr w14:paraId="30B56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AB11C">
            <w:pPr>
              <w:jc w:val="center"/>
              <w:rPr>
                <w:rFonts w:hint="eastAsia" w:ascii="宋体" w:hAnsi="宋体" w:eastAsia="宋体" w:cs="宋体"/>
                <w:i w:val="0"/>
                <w:iCs w:val="0"/>
                <w:color w:val="auto"/>
                <w:sz w:val="22"/>
                <w:szCs w:val="22"/>
                <w:highlight w:val="none"/>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3A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可持续</w:t>
            </w:r>
          </w:p>
          <w:p w14:paraId="31A55C3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影响</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82E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运维管理机制</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1011">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建立并执行</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1773">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建立并执行</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D735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083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7.50</w:t>
            </w:r>
          </w:p>
        </w:tc>
      </w:tr>
      <w:tr w14:paraId="75C0D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BC4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Style w:val="20"/>
                <w:color w:val="auto"/>
                <w:highlight w:val="none"/>
                <w:lang w:val="en-US" w:eastAsia="zh-CN" w:bidi="ar"/>
              </w:rPr>
              <w:t>满意度</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601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服务对象满意度</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E0A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参建单位满意度</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5F29">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90%</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394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98.57%</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5FC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397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10.00</w:t>
            </w:r>
          </w:p>
        </w:tc>
      </w:tr>
      <w:tr w14:paraId="275B1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56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468B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总  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4CD1">
            <w:pPr>
              <w:jc w:val="center"/>
              <w:rPr>
                <w:rFonts w:hint="eastAsia" w:ascii="宋体" w:hAnsi="宋体" w:eastAsia="宋体" w:cs="宋体"/>
                <w:i w:val="0"/>
                <w:iCs w:val="0"/>
                <w:color w:val="auto"/>
                <w:sz w:val="22"/>
                <w:szCs w:val="22"/>
                <w:highlight w:val="none"/>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852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7E10">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91.75</w:t>
            </w:r>
          </w:p>
        </w:tc>
      </w:tr>
    </w:tbl>
    <w:p w14:paraId="2C043D1D">
      <w:pPr>
        <w:rPr>
          <w:color w:val="auto"/>
          <w:highlight w:val="none"/>
        </w:rPr>
      </w:pPr>
    </w:p>
    <w:sectPr>
      <w:footerReference r:id="rId3" w:type="default"/>
      <w:type w:val="continuous"/>
      <w:pgSz w:w="11910" w:h="16840"/>
      <w:pgMar w:top="2098" w:right="1474" w:bottom="1984" w:left="1587"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微软雅黑"/>
    <w:panose1 w:val="00000000000000000000"/>
    <w:charset w:val="86"/>
    <w:family w:val="swiss"/>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95BC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9CD6C">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9CD6C">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AEB533"/>
    <w:multiLevelType w:val="singleLevel"/>
    <w:tmpl w:val="8EAEB533"/>
    <w:lvl w:ilvl="0" w:tentative="0">
      <w:start w:val="5"/>
      <w:numFmt w:val="chineseCounting"/>
      <w:suff w:val="nothing"/>
      <w:lvlText w:val="（%1）"/>
      <w:lvlJc w:val="left"/>
      <w:rPr>
        <w:rFonts w:hint="eastAsia"/>
      </w:rPr>
    </w:lvl>
  </w:abstractNum>
  <w:abstractNum w:abstractNumId="1">
    <w:nsid w:val="B7928BA1"/>
    <w:multiLevelType w:val="singleLevel"/>
    <w:tmpl w:val="B7928BA1"/>
    <w:lvl w:ilvl="0" w:tentative="0">
      <w:start w:val="1"/>
      <w:numFmt w:val="chineseCounting"/>
      <w:suff w:val="nothing"/>
      <w:lvlText w:val="（%1）"/>
      <w:lvlJc w:val="left"/>
      <w:rPr>
        <w:rFonts w:hint="eastAsia"/>
      </w:rPr>
    </w:lvl>
  </w:abstractNum>
  <w:abstractNum w:abstractNumId="2">
    <w:nsid w:val="139CDF54"/>
    <w:multiLevelType w:val="singleLevel"/>
    <w:tmpl w:val="139CDF54"/>
    <w:lvl w:ilvl="0" w:tentative="0">
      <w:start w:val="2"/>
      <w:numFmt w:val="decimal"/>
      <w:suff w:val="nothing"/>
      <w:lvlText w:val="（%1）"/>
      <w:lvlJc w:val="left"/>
    </w:lvl>
  </w:abstractNum>
  <w:abstractNum w:abstractNumId="3">
    <w:nsid w:val="597F1ACF"/>
    <w:multiLevelType w:val="multilevel"/>
    <w:tmpl w:val="597F1ACF"/>
    <w:lvl w:ilvl="0" w:tentative="0">
      <w:start w:val="1"/>
      <w:numFmt w:val="japaneseCounting"/>
      <w:lvlText w:val="%1、"/>
      <w:lvlJc w:val="left"/>
      <w:pPr>
        <w:ind w:left="1361" w:hanging="720"/>
      </w:pPr>
      <w:rPr>
        <w:rFonts w:hint="default"/>
      </w:rPr>
    </w:lvl>
    <w:lvl w:ilvl="1" w:tentative="0">
      <w:start w:val="1"/>
      <w:numFmt w:val="lowerLetter"/>
      <w:lvlText w:val="%2)"/>
      <w:lvlJc w:val="left"/>
      <w:pPr>
        <w:ind w:left="1481" w:hanging="420"/>
      </w:pPr>
    </w:lvl>
    <w:lvl w:ilvl="2" w:tentative="0">
      <w:start w:val="1"/>
      <w:numFmt w:val="lowerRoman"/>
      <w:lvlText w:val="%3."/>
      <w:lvlJc w:val="right"/>
      <w:pPr>
        <w:ind w:left="1901" w:hanging="420"/>
      </w:pPr>
    </w:lvl>
    <w:lvl w:ilvl="3" w:tentative="0">
      <w:start w:val="1"/>
      <w:numFmt w:val="decimal"/>
      <w:lvlText w:val="%4."/>
      <w:lvlJc w:val="left"/>
      <w:pPr>
        <w:ind w:left="2321" w:hanging="420"/>
      </w:pPr>
    </w:lvl>
    <w:lvl w:ilvl="4" w:tentative="0">
      <w:start w:val="1"/>
      <w:numFmt w:val="lowerLetter"/>
      <w:lvlText w:val="%5)"/>
      <w:lvlJc w:val="left"/>
      <w:pPr>
        <w:ind w:left="2741" w:hanging="420"/>
      </w:pPr>
    </w:lvl>
    <w:lvl w:ilvl="5" w:tentative="0">
      <w:start w:val="1"/>
      <w:numFmt w:val="lowerRoman"/>
      <w:lvlText w:val="%6."/>
      <w:lvlJc w:val="right"/>
      <w:pPr>
        <w:ind w:left="3161" w:hanging="420"/>
      </w:pPr>
    </w:lvl>
    <w:lvl w:ilvl="6" w:tentative="0">
      <w:start w:val="1"/>
      <w:numFmt w:val="decimal"/>
      <w:lvlText w:val="%7."/>
      <w:lvlJc w:val="left"/>
      <w:pPr>
        <w:ind w:left="3581" w:hanging="420"/>
      </w:pPr>
    </w:lvl>
    <w:lvl w:ilvl="7" w:tentative="0">
      <w:start w:val="1"/>
      <w:numFmt w:val="lowerLetter"/>
      <w:lvlText w:val="%8)"/>
      <w:lvlJc w:val="left"/>
      <w:pPr>
        <w:ind w:left="4001" w:hanging="420"/>
      </w:pPr>
    </w:lvl>
    <w:lvl w:ilvl="8" w:tentative="0">
      <w:start w:val="1"/>
      <w:numFmt w:val="lowerRoman"/>
      <w:lvlText w:val="%9."/>
      <w:lvlJc w:val="right"/>
      <w:pPr>
        <w:ind w:left="4421" w:hanging="420"/>
      </w:pPr>
    </w:lvl>
  </w:abstractNum>
  <w:abstractNum w:abstractNumId="4">
    <w:nsid w:val="5F33D607"/>
    <w:multiLevelType w:val="singleLevel"/>
    <w:tmpl w:val="5F33D607"/>
    <w:lvl w:ilvl="0" w:tentative="0">
      <w:start w:val="2"/>
      <w:numFmt w:val="chineseCounting"/>
      <w:suff w:val="nothing"/>
      <w:lvlText w:val="（%1）"/>
      <w:lvlJc w:val="left"/>
      <w:rPr>
        <w:rFonts w:hint="eastAsia"/>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3MWJiMmNkZGUxN2YwZGQ0YzI2YmJmYzFmNDgzNDIifQ=="/>
  </w:docVars>
  <w:rsids>
    <w:rsidRoot w:val="006A0286"/>
    <w:rsid w:val="0000186F"/>
    <w:rsid w:val="00005402"/>
    <w:rsid w:val="00027842"/>
    <w:rsid w:val="000469A4"/>
    <w:rsid w:val="00060C6A"/>
    <w:rsid w:val="000F0010"/>
    <w:rsid w:val="000F2CB8"/>
    <w:rsid w:val="001076FD"/>
    <w:rsid w:val="00112A3C"/>
    <w:rsid w:val="0012335B"/>
    <w:rsid w:val="001246BA"/>
    <w:rsid w:val="001C0608"/>
    <w:rsid w:val="001D43CE"/>
    <w:rsid w:val="001E1F08"/>
    <w:rsid w:val="001F5652"/>
    <w:rsid w:val="001F6AA8"/>
    <w:rsid w:val="002034C4"/>
    <w:rsid w:val="00223670"/>
    <w:rsid w:val="002F39B9"/>
    <w:rsid w:val="00317F35"/>
    <w:rsid w:val="00351550"/>
    <w:rsid w:val="003A2E55"/>
    <w:rsid w:val="003D0404"/>
    <w:rsid w:val="003D4D43"/>
    <w:rsid w:val="003D6656"/>
    <w:rsid w:val="00412A90"/>
    <w:rsid w:val="00427AA3"/>
    <w:rsid w:val="00442231"/>
    <w:rsid w:val="00453872"/>
    <w:rsid w:val="00485FCA"/>
    <w:rsid w:val="00496584"/>
    <w:rsid w:val="004B1555"/>
    <w:rsid w:val="004E3E98"/>
    <w:rsid w:val="004F2889"/>
    <w:rsid w:val="00541FD2"/>
    <w:rsid w:val="0055497B"/>
    <w:rsid w:val="0058181F"/>
    <w:rsid w:val="005C5968"/>
    <w:rsid w:val="005D094F"/>
    <w:rsid w:val="005D61F8"/>
    <w:rsid w:val="006032DC"/>
    <w:rsid w:val="00661709"/>
    <w:rsid w:val="006A0286"/>
    <w:rsid w:val="006F1257"/>
    <w:rsid w:val="006F2AB8"/>
    <w:rsid w:val="00705B52"/>
    <w:rsid w:val="0072674E"/>
    <w:rsid w:val="007416BA"/>
    <w:rsid w:val="0074689F"/>
    <w:rsid w:val="0075652D"/>
    <w:rsid w:val="00784065"/>
    <w:rsid w:val="007A51B4"/>
    <w:rsid w:val="007A754E"/>
    <w:rsid w:val="00830C91"/>
    <w:rsid w:val="008C20B7"/>
    <w:rsid w:val="008C735A"/>
    <w:rsid w:val="008D7527"/>
    <w:rsid w:val="008F6FC9"/>
    <w:rsid w:val="00926E98"/>
    <w:rsid w:val="0095504B"/>
    <w:rsid w:val="009B2D68"/>
    <w:rsid w:val="00A14DE2"/>
    <w:rsid w:val="00A72387"/>
    <w:rsid w:val="00A863A2"/>
    <w:rsid w:val="00A95A9A"/>
    <w:rsid w:val="00AA24DC"/>
    <w:rsid w:val="00AC69E3"/>
    <w:rsid w:val="00B14C89"/>
    <w:rsid w:val="00B33955"/>
    <w:rsid w:val="00BA1A55"/>
    <w:rsid w:val="00BD1F01"/>
    <w:rsid w:val="00CB64D3"/>
    <w:rsid w:val="00D20830"/>
    <w:rsid w:val="00D71C46"/>
    <w:rsid w:val="00D855DD"/>
    <w:rsid w:val="00D85F96"/>
    <w:rsid w:val="00DE067D"/>
    <w:rsid w:val="00DF053C"/>
    <w:rsid w:val="00E1011A"/>
    <w:rsid w:val="00E70A55"/>
    <w:rsid w:val="00EB03FD"/>
    <w:rsid w:val="00ED06B2"/>
    <w:rsid w:val="00EF65E3"/>
    <w:rsid w:val="00F161C4"/>
    <w:rsid w:val="00F211EF"/>
    <w:rsid w:val="00F35A70"/>
    <w:rsid w:val="00F4202D"/>
    <w:rsid w:val="00FB5E7E"/>
    <w:rsid w:val="00FC405A"/>
    <w:rsid w:val="00FC7877"/>
    <w:rsid w:val="011C626C"/>
    <w:rsid w:val="014D28C9"/>
    <w:rsid w:val="0167398B"/>
    <w:rsid w:val="016D6AC7"/>
    <w:rsid w:val="0183453D"/>
    <w:rsid w:val="01875DDB"/>
    <w:rsid w:val="01891B53"/>
    <w:rsid w:val="01981D96"/>
    <w:rsid w:val="01AD5116"/>
    <w:rsid w:val="01C900CF"/>
    <w:rsid w:val="01E054EB"/>
    <w:rsid w:val="01F12FCA"/>
    <w:rsid w:val="021B4775"/>
    <w:rsid w:val="02257262"/>
    <w:rsid w:val="02296D76"/>
    <w:rsid w:val="02305555"/>
    <w:rsid w:val="0249725E"/>
    <w:rsid w:val="0261662C"/>
    <w:rsid w:val="02691984"/>
    <w:rsid w:val="026954E1"/>
    <w:rsid w:val="0270061D"/>
    <w:rsid w:val="02777BFD"/>
    <w:rsid w:val="02BF15A4"/>
    <w:rsid w:val="02CC30EC"/>
    <w:rsid w:val="02D1374D"/>
    <w:rsid w:val="02D914DF"/>
    <w:rsid w:val="02D92666"/>
    <w:rsid w:val="03157416"/>
    <w:rsid w:val="034F46D6"/>
    <w:rsid w:val="035B12CD"/>
    <w:rsid w:val="035E0DBD"/>
    <w:rsid w:val="03887BE8"/>
    <w:rsid w:val="04051239"/>
    <w:rsid w:val="040C1AC8"/>
    <w:rsid w:val="042A3C04"/>
    <w:rsid w:val="044677AD"/>
    <w:rsid w:val="045D276B"/>
    <w:rsid w:val="04E6106A"/>
    <w:rsid w:val="0523024B"/>
    <w:rsid w:val="052E47BF"/>
    <w:rsid w:val="0534627A"/>
    <w:rsid w:val="055253E1"/>
    <w:rsid w:val="056B1570"/>
    <w:rsid w:val="05832D5D"/>
    <w:rsid w:val="05CF1AFF"/>
    <w:rsid w:val="05DB4947"/>
    <w:rsid w:val="05EB778A"/>
    <w:rsid w:val="05EC26B0"/>
    <w:rsid w:val="05FC529C"/>
    <w:rsid w:val="060D0325"/>
    <w:rsid w:val="0619721E"/>
    <w:rsid w:val="06510766"/>
    <w:rsid w:val="066D1AB1"/>
    <w:rsid w:val="0671705A"/>
    <w:rsid w:val="06A50516"/>
    <w:rsid w:val="06A50AB1"/>
    <w:rsid w:val="06BD404D"/>
    <w:rsid w:val="06C47189"/>
    <w:rsid w:val="06DC0977"/>
    <w:rsid w:val="06FE6B3F"/>
    <w:rsid w:val="077566D6"/>
    <w:rsid w:val="07AC659B"/>
    <w:rsid w:val="07B611C8"/>
    <w:rsid w:val="07C84A57"/>
    <w:rsid w:val="07CC279A"/>
    <w:rsid w:val="07DB0C2F"/>
    <w:rsid w:val="07E13D6B"/>
    <w:rsid w:val="07E55609"/>
    <w:rsid w:val="080D690E"/>
    <w:rsid w:val="081E4FBF"/>
    <w:rsid w:val="089D4136"/>
    <w:rsid w:val="08D343CC"/>
    <w:rsid w:val="09122A90"/>
    <w:rsid w:val="0926222E"/>
    <w:rsid w:val="09293C1C"/>
    <w:rsid w:val="09410F65"/>
    <w:rsid w:val="09585093"/>
    <w:rsid w:val="09616F12"/>
    <w:rsid w:val="09B74D83"/>
    <w:rsid w:val="09CB4CD3"/>
    <w:rsid w:val="09DF42DA"/>
    <w:rsid w:val="09E16531"/>
    <w:rsid w:val="09F91840"/>
    <w:rsid w:val="0A84735B"/>
    <w:rsid w:val="0AA96DC2"/>
    <w:rsid w:val="0AB03A89"/>
    <w:rsid w:val="0ACB4F8A"/>
    <w:rsid w:val="0AD656DD"/>
    <w:rsid w:val="0B0009AC"/>
    <w:rsid w:val="0B010278"/>
    <w:rsid w:val="0B0E30C9"/>
    <w:rsid w:val="0B980BE5"/>
    <w:rsid w:val="0BAC3809"/>
    <w:rsid w:val="0BCB2D68"/>
    <w:rsid w:val="0BE1258C"/>
    <w:rsid w:val="0C2D757F"/>
    <w:rsid w:val="0C6C454B"/>
    <w:rsid w:val="0C9615C8"/>
    <w:rsid w:val="0CAA7501"/>
    <w:rsid w:val="0CD65E68"/>
    <w:rsid w:val="0CD75B03"/>
    <w:rsid w:val="0CF167FE"/>
    <w:rsid w:val="0CF32576"/>
    <w:rsid w:val="0D837D9E"/>
    <w:rsid w:val="0DDF2AFB"/>
    <w:rsid w:val="0DF578D8"/>
    <w:rsid w:val="0E0802A4"/>
    <w:rsid w:val="0E0A401C"/>
    <w:rsid w:val="0E0B38F0"/>
    <w:rsid w:val="0E0F1632"/>
    <w:rsid w:val="0E1A3B33"/>
    <w:rsid w:val="0E1C3D4F"/>
    <w:rsid w:val="0E1E3623"/>
    <w:rsid w:val="0E2826F4"/>
    <w:rsid w:val="0E3C1CFB"/>
    <w:rsid w:val="0E6065C6"/>
    <w:rsid w:val="0E820056"/>
    <w:rsid w:val="0E8A2A67"/>
    <w:rsid w:val="0E941B37"/>
    <w:rsid w:val="0EB45D35"/>
    <w:rsid w:val="0EC20452"/>
    <w:rsid w:val="0ED604C7"/>
    <w:rsid w:val="0F243388"/>
    <w:rsid w:val="0F2E3930"/>
    <w:rsid w:val="0F360E40"/>
    <w:rsid w:val="0F380715"/>
    <w:rsid w:val="0F4075C9"/>
    <w:rsid w:val="0F4E7F38"/>
    <w:rsid w:val="0F4F17F5"/>
    <w:rsid w:val="0F701A68"/>
    <w:rsid w:val="0F73799F"/>
    <w:rsid w:val="0F751969"/>
    <w:rsid w:val="0F7F33AF"/>
    <w:rsid w:val="0F930041"/>
    <w:rsid w:val="0F9C6EF5"/>
    <w:rsid w:val="0F9E0735"/>
    <w:rsid w:val="0FB83603"/>
    <w:rsid w:val="0FBA381F"/>
    <w:rsid w:val="0FBD0C1A"/>
    <w:rsid w:val="0FC8093A"/>
    <w:rsid w:val="0FFB3E5F"/>
    <w:rsid w:val="10093404"/>
    <w:rsid w:val="102A1D95"/>
    <w:rsid w:val="105A46BB"/>
    <w:rsid w:val="107240FA"/>
    <w:rsid w:val="109A0F5B"/>
    <w:rsid w:val="10AA2392"/>
    <w:rsid w:val="10B85FB1"/>
    <w:rsid w:val="10D64689"/>
    <w:rsid w:val="10E221D7"/>
    <w:rsid w:val="10E36DA6"/>
    <w:rsid w:val="110B2896"/>
    <w:rsid w:val="110F7B9B"/>
    <w:rsid w:val="1122167C"/>
    <w:rsid w:val="114C04A7"/>
    <w:rsid w:val="115C304B"/>
    <w:rsid w:val="11691059"/>
    <w:rsid w:val="116F7C2C"/>
    <w:rsid w:val="117619C8"/>
    <w:rsid w:val="12096398"/>
    <w:rsid w:val="121001C5"/>
    <w:rsid w:val="12521AED"/>
    <w:rsid w:val="125E66E4"/>
    <w:rsid w:val="12617F82"/>
    <w:rsid w:val="127D7C27"/>
    <w:rsid w:val="12B02CB8"/>
    <w:rsid w:val="12DF26F1"/>
    <w:rsid w:val="12F9465F"/>
    <w:rsid w:val="13160D6D"/>
    <w:rsid w:val="1332191F"/>
    <w:rsid w:val="133438E9"/>
    <w:rsid w:val="13491142"/>
    <w:rsid w:val="137D4FDC"/>
    <w:rsid w:val="137E2E86"/>
    <w:rsid w:val="139323BD"/>
    <w:rsid w:val="13946135"/>
    <w:rsid w:val="13A876C2"/>
    <w:rsid w:val="13E54DAA"/>
    <w:rsid w:val="14595396"/>
    <w:rsid w:val="14700951"/>
    <w:rsid w:val="147815B3"/>
    <w:rsid w:val="14C03686"/>
    <w:rsid w:val="14C36CD2"/>
    <w:rsid w:val="150712B5"/>
    <w:rsid w:val="15107A3E"/>
    <w:rsid w:val="15196AB7"/>
    <w:rsid w:val="15485429"/>
    <w:rsid w:val="154D0C92"/>
    <w:rsid w:val="156E7F7B"/>
    <w:rsid w:val="15714980"/>
    <w:rsid w:val="157B135B"/>
    <w:rsid w:val="1594066F"/>
    <w:rsid w:val="15B33E67"/>
    <w:rsid w:val="15C5035C"/>
    <w:rsid w:val="15DF7B3C"/>
    <w:rsid w:val="15F15AC1"/>
    <w:rsid w:val="15F5735F"/>
    <w:rsid w:val="160E16E3"/>
    <w:rsid w:val="161537A7"/>
    <w:rsid w:val="16315EBE"/>
    <w:rsid w:val="163F3342"/>
    <w:rsid w:val="16536FFC"/>
    <w:rsid w:val="16646293"/>
    <w:rsid w:val="16726C02"/>
    <w:rsid w:val="16CD5BE6"/>
    <w:rsid w:val="16EB2510"/>
    <w:rsid w:val="17092996"/>
    <w:rsid w:val="170D2487"/>
    <w:rsid w:val="173514FC"/>
    <w:rsid w:val="173E3F11"/>
    <w:rsid w:val="175207E1"/>
    <w:rsid w:val="17672CB5"/>
    <w:rsid w:val="1767428D"/>
    <w:rsid w:val="17CA481C"/>
    <w:rsid w:val="17ED3507"/>
    <w:rsid w:val="18036AC7"/>
    <w:rsid w:val="180F222F"/>
    <w:rsid w:val="181635BD"/>
    <w:rsid w:val="182C1032"/>
    <w:rsid w:val="183149CD"/>
    <w:rsid w:val="18357EE7"/>
    <w:rsid w:val="184B770B"/>
    <w:rsid w:val="18722EE9"/>
    <w:rsid w:val="18FA6A3B"/>
    <w:rsid w:val="195A6DE8"/>
    <w:rsid w:val="1970516F"/>
    <w:rsid w:val="19742C91"/>
    <w:rsid w:val="19B7492C"/>
    <w:rsid w:val="19E73463"/>
    <w:rsid w:val="1A271AB1"/>
    <w:rsid w:val="1A442663"/>
    <w:rsid w:val="1A516B2E"/>
    <w:rsid w:val="1A5F124B"/>
    <w:rsid w:val="1A8707A2"/>
    <w:rsid w:val="1AB75BC6"/>
    <w:rsid w:val="1ABD41C4"/>
    <w:rsid w:val="1ACD2659"/>
    <w:rsid w:val="1AE17EB2"/>
    <w:rsid w:val="1AFD275F"/>
    <w:rsid w:val="1B1A79EE"/>
    <w:rsid w:val="1B634D6B"/>
    <w:rsid w:val="1B7A3E63"/>
    <w:rsid w:val="1B830F69"/>
    <w:rsid w:val="1B8A679C"/>
    <w:rsid w:val="1B985163"/>
    <w:rsid w:val="1BAA0BEC"/>
    <w:rsid w:val="1BAC167D"/>
    <w:rsid w:val="1BBB1B7A"/>
    <w:rsid w:val="1C1222ED"/>
    <w:rsid w:val="1C227894"/>
    <w:rsid w:val="1C346708"/>
    <w:rsid w:val="1C381D54"/>
    <w:rsid w:val="1C3F6CF1"/>
    <w:rsid w:val="1C4526C3"/>
    <w:rsid w:val="1C6F14EE"/>
    <w:rsid w:val="1CB11B06"/>
    <w:rsid w:val="1CF77E61"/>
    <w:rsid w:val="1D1A76AB"/>
    <w:rsid w:val="1D230CA1"/>
    <w:rsid w:val="1D2D5631"/>
    <w:rsid w:val="1D305121"/>
    <w:rsid w:val="1D44297A"/>
    <w:rsid w:val="1D540E0F"/>
    <w:rsid w:val="1D637FA7"/>
    <w:rsid w:val="1D930EC6"/>
    <w:rsid w:val="1D9531D6"/>
    <w:rsid w:val="1DCA62A8"/>
    <w:rsid w:val="1DDC2BB3"/>
    <w:rsid w:val="1DEA3522"/>
    <w:rsid w:val="1DEF0B38"/>
    <w:rsid w:val="1E0B5246"/>
    <w:rsid w:val="1E34479D"/>
    <w:rsid w:val="1E4E3AB1"/>
    <w:rsid w:val="1E5D5760"/>
    <w:rsid w:val="1E5F5CBE"/>
    <w:rsid w:val="1E7F010E"/>
    <w:rsid w:val="1E8B407E"/>
    <w:rsid w:val="1EA57FE6"/>
    <w:rsid w:val="1EAA2CB1"/>
    <w:rsid w:val="1EBA2EF4"/>
    <w:rsid w:val="1EC21DA9"/>
    <w:rsid w:val="1EF1268E"/>
    <w:rsid w:val="1F016D75"/>
    <w:rsid w:val="1F024FA1"/>
    <w:rsid w:val="1F1A3993"/>
    <w:rsid w:val="1F332CA6"/>
    <w:rsid w:val="1F720A5F"/>
    <w:rsid w:val="1F80375C"/>
    <w:rsid w:val="1FA6791C"/>
    <w:rsid w:val="1FAB6CE1"/>
    <w:rsid w:val="1FC12569"/>
    <w:rsid w:val="1FED10A7"/>
    <w:rsid w:val="20542ED4"/>
    <w:rsid w:val="20547378"/>
    <w:rsid w:val="20651585"/>
    <w:rsid w:val="206767C6"/>
    <w:rsid w:val="20DA787E"/>
    <w:rsid w:val="20DB53A4"/>
    <w:rsid w:val="20F052F3"/>
    <w:rsid w:val="210E5779"/>
    <w:rsid w:val="21323A4B"/>
    <w:rsid w:val="2135626F"/>
    <w:rsid w:val="213571AA"/>
    <w:rsid w:val="218A7A01"/>
    <w:rsid w:val="219E6AFD"/>
    <w:rsid w:val="21E227E6"/>
    <w:rsid w:val="21FE134A"/>
    <w:rsid w:val="22280ABD"/>
    <w:rsid w:val="22AA7723"/>
    <w:rsid w:val="22EC5646"/>
    <w:rsid w:val="22FA1BC3"/>
    <w:rsid w:val="23386ADD"/>
    <w:rsid w:val="2351194D"/>
    <w:rsid w:val="236553F8"/>
    <w:rsid w:val="2366189C"/>
    <w:rsid w:val="23735D67"/>
    <w:rsid w:val="237C2E6E"/>
    <w:rsid w:val="23A81FF0"/>
    <w:rsid w:val="23D140B6"/>
    <w:rsid w:val="23E32EED"/>
    <w:rsid w:val="241E3F25"/>
    <w:rsid w:val="245614FC"/>
    <w:rsid w:val="247A2D77"/>
    <w:rsid w:val="247B1377"/>
    <w:rsid w:val="24967F5F"/>
    <w:rsid w:val="24A51F50"/>
    <w:rsid w:val="24AC2947"/>
    <w:rsid w:val="24E16635"/>
    <w:rsid w:val="253A4D8F"/>
    <w:rsid w:val="2559015C"/>
    <w:rsid w:val="259E252D"/>
    <w:rsid w:val="25A4045A"/>
    <w:rsid w:val="25B85CB3"/>
    <w:rsid w:val="26026247"/>
    <w:rsid w:val="26200F51"/>
    <w:rsid w:val="262B2929"/>
    <w:rsid w:val="265754CC"/>
    <w:rsid w:val="26600825"/>
    <w:rsid w:val="2661580E"/>
    <w:rsid w:val="26667E05"/>
    <w:rsid w:val="26760048"/>
    <w:rsid w:val="270A253F"/>
    <w:rsid w:val="27181100"/>
    <w:rsid w:val="27182EAE"/>
    <w:rsid w:val="27351CB2"/>
    <w:rsid w:val="2756490A"/>
    <w:rsid w:val="2766189F"/>
    <w:rsid w:val="27CA4388"/>
    <w:rsid w:val="27D6204F"/>
    <w:rsid w:val="284101E2"/>
    <w:rsid w:val="289742A6"/>
    <w:rsid w:val="289E73E3"/>
    <w:rsid w:val="28A349F9"/>
    <w:rsid w:val="28AE699C"/>
    <w:rsid w:val="28BA1B93"/>
    <w:rsid w:val="28BE5CD7"/>
    <w:rsid w:val="293164A9"/>
    <w:rsid w:val="29552568"/>
    <w:rsid w:val="29564161"/>
    <w:rsid w:val="29627238"/>
    <w:rsid w:val="29727A11"/>
    <w:rsid w:val="2976489F"/>
    <w:rsid w:val="299C7DFE"/>
    <w:rsid w:val="29B80978"/>
    <w:rsid w:val="29BB5D72"/>
    <w:rsid w:val="29C07228"/>
    <w:rsid w:val="29C15A7E"/>
    <w:rsid w:val="2A102562"/>
    <w:rsid w:val="2A293624"/>
    <w:rsid w:val="2A32072A"/>
    <w:rsid w:val="2A44045E"/>
    <w:rsid w:val="2A4514B8"/>
    <w:rsid w:val="2A6274D6"/>
    <w:rsid w:val="2A693A20"/>
    <w:rsid w:val="2A9E7B6E"/>
    <w:rsid w:val="2AB729DE"/>
    <w:rsid w:val="2AC16EAC"/>
    <w:rsid w:val="2AD215C5"/>
    <w:rsid w:val="2AD52E64"/>
    <w:rsid w:val="2B006133"/>
    <w:rsid w:val="2B2142FB"/>
    <w:rsid w:val="2B4C75CA"/>
    <w:rsid w:val="2B5D2E28"/>
    <w:rsid w:val="2B970725"/>
    <w:rsid w:val="2BBA09D7"/>
    <w:rsid w:val="2BBD4024"/>
    <w:rsid w:val="2BD33847"/>
    <w:rsid w:val="2BE7473A"/>
    <w:rsid w:val="2C0F3F8E"/>
    <w:rsid w:val="2C3047F6"/>
    <w:rsid w:val="2C4734A0"/>
    <w:rsid w:val="2C5263E4"/>
    <w:rsid w:val="2C6721E1"/>
    <w:rsid w:val="2C6941AB"/>
    <w:rsid w:val="2C7C2E07"/>
    <w:rsid w:val="2CAC7E87"/>
    <w:rsid w:val="2CBF3DCB"/>
    <w:rsid w:val="2CC633AC"/>
    <w:rsid w:val="2CCD397D"/>
    <w:rsid w:val="2CF63C91"/>
    <w:rsid w:val="2D2105E2"/>
    <w:rsid w:val="2D2D51D9"/>
    <w:rsid w:val="2D5B1D46"/>
    <w:rsid w:val="2D630BFB"/>
    <w:rsid w:val="2D6F75A0"/>
    <w:rsid w:val="2DB651CE"/>
    <w:rsid w:val="2DBE4083"/>
    <w:rsid w:val="2DFE32A9"/>
    <w:rsid w:val="2E0A72C8"/>
    <w:rsid w:val="2E222864"/>
    <w:rsid w:val="2E23710E"/>
    <w:rsid w:val="2E2A1718"/>
    <w:rsid w:val="2E3C4FFE"/>
    <w:rsid w:val="2E3F6F72"/>
    <w:rsid w:val="2E620EB2"/>
    <w:rsid w:val="2E6B420B"/>
    <w:rsid w:val="2E7110F5"/>
    <w:rsid w:val="2E7B1F74"/>
    <w:rsid w:val="2EA414CB"/>
    <w:rsid w:val="2EC4391B"/>
    <w:rsid w:val="2EEB534C"/>
    <w:rsid w:val="2F0B32F8"/>
    <w:rsid w:val="2F326AD7"/>
    <w:rsid w:val="2F364819"/>
    <w:rsid w:val="2F41145D"/>
    <w:rsid w:val="2F745341"/>
    <w:rsid w:val="2F750D73"/>
    <w:rsid w:val="2FB27C17"/>
    <w:rsid w:val="2FE34EA4"/>
    <w:rsid w:val="303B5E5F"/>
    <w:rsid w:val="30406FD1"/>
    <w:rsid w:val="304C1E1A"/>
    <w:rsid w:val="30770068"/>
    <w:rsid w:val="3099481D"/>
    <w:rsid w:val="30A77050"/>
    <w:rsid w:val="30CE0A81"/>
    <w:rsid w:val="30EE1123"/>
    <w:rsid w:val="30F009F7"/>
    <w:rsid w:val="3102676E"/>
    <w:rsid w:val="31172428"/>
    <w:rsid w:val="313A1C72"/>
    <w:rsid w:val="319677F1"/>
    <w:rsid w:val="31C75BFC"/>
    <w:rsid w:val="31D67BED"/>
    <w:rsid w:val="31EE7558"/>
    <w:rsid w:val="32196B47"/>
    <w:rsid w:val="32270449"/>
    <w:rsid w:val="323419F2"/>
    <w:rsid w:val="325711B6"/>
    <w:rsid w:val="32891103"/>
    <w:rsid w:val="32A73338"/>
    <w:rsid w:val="331217FF"/>
    <w:rsid w:val="332C2451"/>
    <w:rsid w:val="3330157F"/>
    <w:rsid w:val="33323549"/>
    <w:rsid w:val="33541711"/>
    <w:rsid w:val="339D72DE"/>
    <w:rsid w:val="33B026C0"/>
    <w:rsid w:val="33D12D62"/>
    <w:rsid w:val="340B4EF1"/>
    <w:rsid w:val="341B10D3"/>
    <w:rsid w:val="344F012B"/>
    <w:rsid w:val="345614B9"/>
    <w:rsid w:val="349873DC"/>
    <w:rsid w:val="34A462BD"/>
    <w:rsid w:val="34CF6B76"/>
    <w:rsid w:val="34DB551B"/>
    <w:rsid w:val="34DE7D3B"/>
    <w:rsid w:val="3522139B"/>
    <w:rsid w:val="35505F08"/>
    <w:rsid w:val="35605C52"/>
    <w:rsid w:val="35794D6E"/>
    <w:rsid w:val="359978AF"/>
    <w:rsid w:val="35A63D7A"/>
    <w:rsid w:val="35D30214"/>
    <w:rsid w:val="35E65FD8"/>
    <w:rsid w:val="36080591"/>
    <w:rsid w:val="364C66D0"/>
    <w:rsid w:val="367E0853"/>
    <w:rsid w:val="36962041"/>
    <w:rsid w:val="36A52284"/>
    <w:rsid w:val="36B50719"/>
    <w:rsid w:val="36F80606"/>
    <w:rsid w:val="37677539"/>
    <w:rsid w:val="376C09BC"/>
    <w:rsid w:val="376F480E"/>
    <w:rsid w:val="377E4FAF"/>
    <w:rsid w:val="3799000B"/>
    <w:rsid w:val="37D5211A"/>
    <w:rsid w:val="37FF1366"/>
    <w:rsid w:val="382D42DF"/>
    <w:rsid w:val="383733B0"/>
    <w:rsid w:val="385E093C"/>
    <w:rsid w:val="385E26EA"/>
    <w:rsid w:val="386F48F8"/>
    <w:rsid w:val="38832151"/>
    <w:rsid w:val="38903062"/>
    <w:rsid w:val="38926838"/>
    <w:rsid w:val="38B84CE0"/>
    <w:rsid w:val="38B92017"/>
    <w:rsid w:val="38CD161E"/>
    <w:rsid w:val="38D46E50"/>
    <w:rsid w:val="391D4354"/>
    <w:rsid w:val="39241B86"/>
    <w:rsid w:val="392456E2"/>
    <w:rsid w:val="393022D9"/>
    <w:rsid w:val="39445D84"/>
    <w:rsid w:val="394F0285"/>
    <w:rsid w:val="395444FA"/>
    <w:rsid w:val="395B4E7C"/>
    <w:rsid w:val="397F6DBC"/>
    <w:rsid w:val="39D07618"/>
    <w:rsid w:val="39D73BCA"/>
    <w:rsid w:val="39EF7F12"/>
    <w:rsid w:val="39F867E2"/>
    <w:rsid w:val="3A080B60"/>
    <w:rsid w:val="3A085004"/>
    <w:rsid w:val="3A255109"/>
    <w:rsid w:val="3A260F83"/>
    <w:rsid w:val="3A5244D1"/>
    <w:rsid w:val="3A6F0BDF"/>
    <w:rsid w:val="3A872C19"/>
    <w:rsid w:val="3AC64B87"/>
    <w:rsid w:val="3AD216C0"/>
    <w:rsid w:val="3AE74C19"/>
    <w:rsid w:val="3AFB06C4"/>
    <w:rsid w:val="3B0357CB"/>
    <w:rsid w:val="3B516536"/>
    <w:rsid w:val="3B532EF7"/>
    <w:rsid w:val="3B7905A1"/>
    <w:rsid w:val="3B800BCA"/>
    <w:rsid w:val="3B9A4359"/>
    <w:rsid w:val="3BA7084C"/>
    <w:rsid w:val="3BB333B7"/>
    <w:rsid w:val="3BC9431F"/>
    <w:rsid w:val="3BDC22A4"/>
    <w:rsid w:val="3C287FB5"/>
    <w:rsid w:val="3C37397E"/>
    <w:rsid w:val="3C4147FD"/>
    <w:rsid w:val="3C66137D"/>
    <w:rsid w:val="3C71317B"/>
    <w:rsid w:val="3C9B1E72"/>
    <w:rsid w:val="3CA20D9F"/>
    <w:rsid w:val="3CE04E26"/>
    <w:rsid w:val="3D0E228D"/>
    <w:rsid w:val="3D106B2F"/>
    <w:rsid w:val="3D4B0840"/>
    <w:rsid w:val="3D98669F"/>
    <w:rsid w:val="3D9D1F07"/>
    <w:rsid w:val="3DA37462"/>
    <w:rsid w:val="3E0C4997"/>
    <w:rsid w:val="3E38578C"/>
    <w:rsid w:val="3EC961E7"/>
    <w:rsid w:val="3EF06066"/>
    <w:rsid w:val="3EF50744"/>
    <w:rsid w:val="3F0065A8"/>
    <w:rsid w:val="3F05054E"/>
    <w:rsid w:val="3F0538C0"/>
    <w:rsid w:val="3F275F2C"/>
    <w:rsid w:val="3F422D66"/>
    <w:rsid w:val="3F4D34B9"/>
    <w:rsid w:val="3F624116"/>
    <w:rsid w:val="3F636838"/>
    <w:rsid w:val="3F6820A1"/>
    <w:rsid w:val="3FA27361"/>
    <w:rsid w:val="40145225"/>
    <w:rsid w:val="40664832"/>
    <w:rsid w:val="40956EC5"/>
    <w:rsid w:val="40BF2194"/>
    <w:rsid w:val="41257F24"/>
    <w:rsid w:val="412C5A7C"/>
    <w:rsid w:val="41410DFB"/>
    <w:rsid w:val="415723CD"/>
    <w:rsid w:val="415E375B"/>
    <w:rsid w:val="41764F49"/>
    <w:rsid w:val="41B4781F"/>
    <w:rsid w:val="41C061C4"/>
    <w:rsid w:val="41C2018E"/>
    <w:rsid w:val="41EF0857"/>
    <w:rsid w:val="42022339"/>
    <w:rsid w:val="42072045"/>
    <w:rsid w:val="423E2768"/>
    <w:rsid w:val="424B0183"/>
    <w:rsid w:val="42BA2C13"/>
    <w:rsid w:val="42BC5E98"/>
    <w:rsid w:val="42C5117B"/>
    <w:rsid w:val="42D261AF"/>
    <w:rsid w:val="42F67BC1"/>
    <w:rsid w:val="432B58BF"/>
    <w:rsid w:val="434B5093"/>
    <w:rsid w:val="435272F0"/>
    <w:rsid w:val="435A7F52"/>
    <w:rsid w:val="435C378C"/>
    <w:rsid w:val="43641240"/>
    <w:rsid w:val="436D5ED7"/>
    <w:rsid w:val="43925C71"/>
    <w:rsid w:val="43CF26EE"/>
    <w:rsid w:val="43F966F2"/>
    <w:rsid w:val="443B5FD6"/>
    <w:rsid w:val="443F5AC6"/>
    <w:rsid w:val="44780FD8"/>
    <w:rsid w:val="447B0A98"/>
    <w:rsid w:val="44EB79FC"/>
    <w:rsid w:val="451505D5"/>
    <w:rsid w:val="452B429C"/>
    <w:rsid w:val="453273D9"/>
    <w:rsid w:val="45356EC9"/>
    <w:rsid w:val="45437C93"/>
    <w:rsid w:val="45633A36"/>
    <w:rsid w:val="4568104C"/>
    <w:rsid w:val="45A91137"/>
    <w:rsid w:val="45B918A8"/>
    <w:rsid w:val="45DD5596"/>
    <w:rsid w:val="45EA7CB3"/>
    <w:rsid w:val="45F06FF4"/>
    <w:rsid w:val="45F34DBA"/>
    <w:rsid w:val="46115D2E"/>
    <w:rsid w:val="462031FF"/>
    <w:rsid w:val="463B22BD"/>
    <w:rsid w:val="46470C62"/>
    <w:rsid w:val="466E068E"/>
    <w:rsid w:val="46A71F04"/>
    <w:rsid w:val="46BF4C9C"/>
    <w:rsid w:val="46EB5A91"/>
    <w:rsid w:val="470D3C59"/>
    <w:rsid w:val="47124DBA"/>
    <w:rsid w:val="472520E8"/>
    <w:rsid w:val="476464C4"/>
    <w:rsid w:val="476475F1"/>
    <w:rsid w:val="476615BC"/>
    <w:rsid w:val="47AD0A2E"/>
    <w:rsid w:val="47B95B8F"/>
    <w:rsid w:val="47C62FEF"/>
    <w:rsid w:val="47E81FD1"/>
    <w:rsid w:val="47F46BC7"/>
    <w:rsid w:val="481E3C44"/>
    <w:rsid w:val="48531B40"/>
    <w:rsid w:val="485B6C46"/>
    <w:rsid w:val="4866789E"/>
    <w:rsid w:val="48967C7F"/>
    <w:rsid w:val="48A71E8C"/>
    <w:rsid w:val="48C4659A"/>
    <w:rsid w:val="48D34A2F"/>
    <w:rsid w:val="48F6071D"/>
    <w:rsid w:val="492B4668"/>
    <w:rsid w:val="49351245"/>
    <w:rsid w:val="497F0713"/>
    <w:rsid w:val="49861AA1"/>
    <w:rsid w:val="499917D4"/>
    <w:rsid w:val="499A554C"/>
    <w:rsid w:val="49D071C0"/>
    <w:rsid w:val="49FB0082"/>
    <w:rsid w:val="4A0A4480"/>
    <w:rsid w:val="4A0D21C2"/>
    <w:rsid w:val="4A225C6E"/>
    <w:rsid w:val="4A325AB6"/>
    <w:rsid w:val="4A3D4856"/>
    <w:rsid w:val="4A6E65D5"/>
    <w:rsid w:val="4AB64608"/>
    <w:rsid w:val="4ACA3C0F"/>
    <w:rsid w:val="4B2570AD"/>
    <w:rsid w:val="4B2772B4"/>
    <w:rsid w:val="4B425E94"/>
    <w:rsid w:val="4BB02971"/>
    <w:rsid w:val="4BC0573E"/>
    <w:rsid w:val="4BC6087B"/>
    <w:rsid w:val="4BC815E5"/>
    <w:rsid w:val="4BD95797"/>
    <w:rsid w:val="4BDC6085"/>
    <w:rsid w:val="4BFF5B3B"/>
    <w:rsid w:val="4C1412C1"/>
    <w:rsid w:val="4C2D4456"/>
    <w:rsid w:val="4C3B6274"/>
    <w:rsid w:val="4C6360CA"/>
    <w:rsid w:val="4CA312E6"/>
    <w:rsid w:val="4CD86AB8"/>
    <w:rsid w:val="4CDC6792"/>
    <w:rsid w:val="4CE56C32"/>
    <w:rsid w:val="4CEB04A9"/>
    <w:rsid w:val="4D1263D2"/>
    <w:rsid w:val="4D163C3E"/>
    <w:rsid w:val="4D357A66"/>
    <w:rsid w:val="4D9E1AAF"/>
    <w:rsid w:val="4DA1374B"/>
    <w:rsid w:val="4DC25072"/>
    <w:rsid w:val="4DC969B3"/>
    <w:rsid w:val="4DFA0CB0"/>
    <w:rsid w:val="4E1753BE"/>
    <w:rsid w:val="4E347D1E"/>
    <w:rsid w:val="4E6A373F"/>
    <w:rsid w:val="4E9D1D67"/>
    <w:rsid w:val="4ED4505D"/>
    <w:rsid w:val="4ED908C5"/>
    <w:rsid w:val="4EF13E61"/>
    <w:rsid w:val="4EFE4FDC"/>
    <w:rsid w:val="4F0B3174"/>
    <w:rsid w:val="4F0C0C9A"/>
    <w:rsid w:val="4F210DB5"/>
    <w:rsid w:val="4F234726"/>
    <w:rsid w:val="4F443F90"/>
    <w:rsid w:val="4F6665FD"/>
    <w:rsid w:val="4FAF0C94"/>
    <w:rsid w:val="4FBD3D43"/>
    <w:rsid w:val="4FCE7CFE"/>
    <w:rsid w:val="4FE85264"/>
    <w:rsid w:val="501A762D"/>
    <w:rsid w:val="501F49FD"/>
    <w:rsid w:val="50210776"/>
    <w:rsid w:val="50483F54"/>
    <w:rsid w:val="505C7A00"/>
    <w:rsid w:val="5060304C"/>
    <w:rsid w:val="50632DDA"/>
    <w:rsid w:val="506A5C79"/>
    <w:rsid w:val="507B60D8"/>
    <w:rsid w:val="50B415EA"/>
    <w:rsid w:val="50CC6FBE"/>
    <w:rsid w:val="50F22729"/>
    <w:rsid w:val="510A745C"/>
    <w:rsid w:val="510C67C0"/>
    <w:rsid w:val="512C73D2"/>
    <w:rsid w:val="5164091A"/>
    <w:rsid w:val="5167665C"/>
    <w:rsid w:val="518D157B"/>
    <w:rsid w:val="51932FAD"/>
    <w:rsid w:val="51A371FD"/>
    <w:rsid w:val="51BA678C"/>
    <w:rsid w:val="51C963B0"/>
    <w:rsid w:val="51D04201"/>
    <w:rsid w:val="51D66F50"/>
    <w:rsid w:val="51EE0A1E"/>
    <w:rsid w:val="52053612"/>
    <w:rsid w:val="521150CD"/>
    <w:rsid w:val="523A0EB5"/>
    <w:rsid w:val="52691F60"/>
    <w:rsid w:val="527D114E"/>
    <w:rsid w:val="5288688A"/>
    <w:rsid w:val="52AB2578"/>
    <w:rsid w:val="52C61160"/>
    <w:rsid w:val="52E55A8A"/>
    <w:rsid w:val="532540D9"/>
    <w:rsid w:val="53407165"/>
    <w:rsid w:val="534E08DF"/>
    <w:rsid w:val="53A07C03"/>
    <w:rsid w:val="53A939D6"/>
    <w:rsid w:val="53B37937"/>
    <w:rsid w:val="53DC50DF"/>
    <w:rsid w:val="541F4B01"/>
    <w:rsid w:val="54244390"/>
    <w:rsid w:val="54336CC9"/>
    <w:rsid w:val="5435659E"/>
    <w:rsid w:val="54370568"/>
    <w:rsid w:val="544D7D8B"/>
    <w:rsid w:val="54883D71"/>
    <w:rsid w:val="5492579E"/>
    <w:rsid w:val="54CF254E"/>
    <w:rsid w:val="54E3424B"/>
    <w:rsid w:val="54E63D3C"/>
    <w:rsid w:val="55515659"/>
    <w:rsid w:val="55886BA1"/>
    <w:rsid w:val="55A559A5"/>
    <w:rsid w:val="55A83E99"/>
    <w:rsid w:val="55BD684B"/>
    <w:rsid w:val="55EC2A55"/>
    <w:rsid w:val="56075D18"/>
    <w:rsid w:val="56187F25"/>
    <w:rsid w:val="567C4958"/>
    <w:rsid w:val="56837A94"/>
    <w:rsid w:val="56885A34"/>
    <w:rsid w:val="56E37560"/>
    <w:rsid w:val="56FE35BF"/>
    <w:rsid w:val="570F757A"/>
    <w:rsid w:val="57140669"/>
    <w:rsid w:val="573A3ECB"/>
    <w:rsid w:val="57511940"/>
    <w:rsid w:val="576553EC"/>
    <w:rsid w:val="57802226"/>
    <w:rsid w:val="57833AC4"/>
    <w:rsid w:val="57A52C26"/>
    <w:rsid w:val="57AC50AC"/>
    <w:rsid w:val="57FA1FD8"/>
    <w:rsid w:val="580A14B8"/>
    <w:rsid w:val="582E57DE"/>
    <w:rsid w:val="58603B9A"/>
    <w:rsid w:val="58647451"/>
    <w:rsid w:val="58D04AE7"/>
    <w:rsid w:val="58E701E7"/>
    <w:rsid w:val="591C5F7E"/>
    <w:rsid w:val="59284923"/>
    <w:rsid w:val="5946504B"/>
    <w:rsid w:val="598E2878"/>
    <w:rsid w:val="59BD32BD"/>
    <w:rsid w:val="59D14FBA"/>
    <w:rsid w:val="59ED4ACD"/>
    <w:rsid w:val="5A403EEE"/>
    <w:rsid w:val="5AB04BD0"/>
    <w:rsid w:val="5B0942E0"/>
    <w:rsid w:val="5B1931EA"/>
    <w:rsid w:val="5B33135D"/>
    <w:rsid w:val="5B3524F6"/>
    <w:rsid w:val="5B394BC5"/>
    <w:rsid w:val="5B3A093D"/>
    <w:rsid w:val="5B3D3F8A"/>
    <w:rsid w:val="5B4041A6"/>
    <w:rsid w:val="5B586072"/>
    <w:rsid w:val="5B8A6B60"/>
    <w:rsid w:val="5BAC35E9"/>
    <w:rsid w:val="5BB10BFF"/>
    <w:rsid w:val="5BC326E1"/>
    <w:rsid w:val="5BC76675"/>
    <w:rsid w:val="5BCD5FD8"/>
    <w:rsid w:val="5BD668B8"/>
    <w:rsid w:val="5BD73CEB"/>
    <w:rsid w:val="5BE2525D"/>
    <w:rsid w:val="5BE74621"/>
    <w:rsid w:val="5BED41E3"/>
    <w:rsid w:val="5BEF797A"/>
    <w:rsid w:val="5BF17D8A"/>
    <w:rsid w:val="5C1B42CB"/>
    <w:rsid w:val="5C2D4F60"/>
    <w:rsid w:val="5C353D2D"/>
    <w:rsid w:val="5C425F79"/>
    <w:rsid w:val="5C4E1BEB"/>
    <w:rsid w:val="5C546444"/>
    <w:rsid w:val="5C546655"/>
    <w:rsid w:val="5C700ABB"/>
    <w:rsid w:val="5C702869"/>
    <w:rsid w:val="5C7E485A"/>
    <w:rsid w:val="5CAB1AF3"/>
    <w:rsid w:val="5CB169DD"/>
    <w:rsid w:val="5CE45005"/>
    <w:rsid w:val="5CF8285E"/>
    <w:rsid w:val="5D0F3AC3"/>
    <w:rsid w:val="5D375134"/>
    <w:rsid w:val="5D61526F"/>
    <w:rsid w:val="5D6878F2"/>
    <w:rsid w:val="5D9C58DF"/>
    <w:rsid w:val="5DC664B8"/>
    <w:rsid w:val="5DD46E27"/>
    <w:rsid w:val="5DFD2460"/>
    <w:rsid w:val="5E08087F"/>
    <w:rsid w:val="5E0930E1"/>
    <w:rsid w:val="5E2C6C63"/>
    <w:rsid w:val="5E4F4700"/>
    <w:rsid w:val="5E7423B8"/>
    <w:rsid w:val="5E895E64"/>
    <w:rsid w:val="5E897C12"/>
    <w:rsid w:val="5E8E5228"/>
    <w:rsid w:val="5EA949ED"/>
    <w:rsid w:val="5EB6119E"/>
    <w:rsid w:val="5EC37AEA"/>
    <w:rsid w:val="5ED05841"/>
    <w:rsid w:val="5F434264"/>
    <w:rsid w:val="5F487ACD"/>
    <w:rsid w:val="5F6366B5"/>
    <w:rsid w:val="5F6E6E08"/>
    <w:rsid w:val="5F893C41"/>
    <w:rsid w:val="5F906D7E"/>
    <w:rsid w:val="5FB7255D"/>
    <w:rsid w:val="5FC31BBA"/>
    <w:rsid w:val="5FFF46E6"/>
    <w:rsid w:val="600F05EB"/>
    <w:rsid w:val="60206354"/>
    <w:rsid w:val="60250909"/>
    <w:rsid w:val="60455DBA"/>
    <w:rsid w:val="606E3563"/>
    <w:rsid w:val="606F607E"/>
    <w:rsid w:val="60820DBC"/>
    <w:rsid w:val="60A9459B"/>
    <w:rsid w:val="60E530F9"/>
    <w:rsid w:val="60EC74F7"/>
    <w:rsid w:val="60F0394C"/>
    <w:rsid w:val="61034D08"/>
    <w:rsid w:val="6125059E"/>
    <w:rsid w:val="614442C4"/>
    <w:rsid w:val="614B5652"/>
    <w:rsid w:val="614E6EF1"/>
    <w:rsid w:val="615744FE"/>
    <w:rsid w:val="6162474A"/>
    <w:rsid w:val="61665FE8"/>
    <w:rsid w:val="61734BA9"/>
    <w:rsid w:val="619E1C26"/>
    <w:rsid w:val="61B9080E"/>
    <w:rsid w:val="62491A41"/>
    <w:rsid w:val="62712E97"/>
    <w:rsid w:val="62A0552A"/>
    <w:rsid w:val="62B00329"/>
    <w:rsid w:val="62CF4061"/>
    <w:rsid w:val="62EC4556"/>
    <w:rsid w:val="62FB4E56"/>
    <w:rsid w:val="630C0E11"/>
    <w:rsid w:val="630E06E5"/>
    <w:rsid w:val="638B442C"/>
    <w:rsid w:val="63CC1360"/>
    <w:rsid w:val="63D414A8"/>
    <w:rsid w:val="64340620"/>
    <w:rsid w:val="64A62BA0"/>
    <w:rsid w:val="64D25170"/>
    <w:rsid w:val="64E2007C"/>
    <w:rsid w:val="64FD3107"/>
    <w:rsid w:val="64FD6C64"/>
    <w:rsid w:val="650A5824"/>
    <w:rsid w:val="65247E33"/>
    <w:rsid w:val="65391870"/>
    <w:rsid w:val="65510D5D"/>
    <w:rsid w:val="65735178"/>
    <w:rsid w:val="658253BB"/>
    <w:rsid w:val="65E9368C"/>
    <w:rsid w:val="660F6821"/>
    <w:rsid w:val="661E50E3"/>
    <w:rsid w:val="662F401C"/>
    <w:rsid w:val="663761A5"/>
    <w:rsid w:val="66377F53"/>
    <w:rsid w:val="66522FDF"/>
    <w:rsid w:val="66636A94"/>
    <w:rsid w:val="669B2BD8"/>
    <w:rsid w:val="669B76E1"/>
    <w:rsid w:val="66A17AC3"/>
    <w:rsid w:val="66D41C46"/>
    <w:rsid w:val="670D390E"/>
    <w:rsid w:val="67193331"/>
    <w:rsid w:val="671958AB"/>
    <w:rsid w:val="671A71BF"/>
    <w:rsid w:val="67242BCD"/>
    <w:rsid w:val="67346B89"/>
    <w:rsid w:val="67446DCC"/>
    <w:rsid w:val="67544B35"/>
    <w:rsid w:val="677551D7"/>
    <w:rsid w:val="677E1BB2"/>
    <w:rsid w:val="678216A2"/>
    <w:rsid w:val="67876CB8"/>
    <w:rsid w:val="67AA29A7"/>
    <w:rsid w:val="67E1286C"/>
    <w:rsid w:val="68330BEE"/>
    <w:rsid w:val="689E250C"/>
    <w:rsid w:val="68C63DCB"/>
    <w:rsid w:val="68F61C13"/>
    <w:rsid w:val="694D5CE0"/>
    <w:rsid w:val="6951757E"/>
    <w:rsid w:val="695B21AB"/>
    <w:rsid w:val="695C7915"/>
    <w:rsid w:val="696D617A"/>
    <w:rsid w:val="69F745C9"/>
    <w:rsid w:val="6A1F767C"/>
    <w:rsid w:val="6A350C4E"/>
    <w:rsid w:val="6A462E5B"/>
    <w:rsid w:val="6A4B784D"/>
    <w:rsid w:val="6A5F216E"/>
    <w:rsid w:val="6A9736B6"/>
    <w:rsid w:val="6AA87672"/>
    <w:rsid w:val="6AE82164"/>
    <w:rsid w:val="6AF22DC9"/>
    <w:rsid w:val="6B3422A2"/>
    <w:rsid w:val="6B3929BF"/>
    <w:rsid w:val="6B3E3B32"/>
    <w:rsid w:val="6B4D1FC7"/>
    <w:rsid w:val="6B581098"/>
    <w:rsid w:val="6B5B0B88"/>
    <w:rsid w:val="6B601CFA"/>
    <w:rsid w:val="6B7C455F"/>
    <w:rsid w:val="6B995692"/>
    <w:rsid w:val="6BA50055"/>
    <w:rsid w:val="6BB42046"/>
    <w:rsid w:val="6BCB7ABB"/>
    <w:rsid w:val="6BCC1ECB"/>
    <w:rsid w:val="6BD34BC2"/>
    <w:rsid w:val="6C1D408F"/>
    <w:rsid w:val="6C296590"/>
    <w:rsid w:val="6C526D9D"/>
    <w:rsid w:val="6C6E541E"/>
    <w:rsid w:val="6C6E5E40"/>
    <w:rsid w:val="6C895281"/>
    <w:rsid w:val="6C8B523E"/>
    <w:rsid w:val="6C8E6D3B"/>
    <w:rsid w:val="6CB15744"/>
    <w:rsid w:val="6CCE0EE6"/>
    <w:rsid w:val="6CD40BF2"/>
    <w:rsid w:val="6CD429A0"/>
    <w:rsid w:val="6CDB6845"/>
    <w:rsid w:val="6CDB76EC"/>
    <w:rsid w:val="6CED5810"/>
    <w:rsid w:val="6D194857"/>
    <w:rsid w:val="6D4A4A10"/>
    <w:rsid w:val="6D772D9F"/>
    <w:rsid w:val="6D934609"/>
    <w:rsid w:val="6D940381"/>
    <w:rsid w:val="6DDF658B"/>
    <w:rsid w:val="6DEC3D19"/>
    <w:rsid w:val="6DFB3F5C"/>
    <w:rsid w:val="6E032E11"/>
    <w:rsid w:val="6E072901"/>
    <w:rsid w:val="6E1374F8"/>
    <w:rsid w:val="6E5E2462"/>
    <w:rsid w:val="6E7A7577"/>
    <w:rsid w:val="6EC72090"/>
    <w:rsid w:val="6ECC7AAA"/>
    <w:rsid w:val="6EF2710D"/>
    <w:rsid w:val="6EF410D7"/>
    <w:rsid w:val="6F60051B"/>
    <w:rsid w:val="6F7D0797"/>
    <w:rsid w:val="6F8000FA"/>
    <w:rsid w:val="6FCF38F2"/>
    <w:rsid w:val="6FE23626"/>
    <w:rsid w:val="6FFD3FBC"/>
    <w:rsid w:val="704240C4"/>
    <w:rsid w:val="70622071"/>
    <w:rsid w:val="706E310B"/>
    <w:rsid w:val="707B3132"/>
    <w:rsid w:val="709D40C3"/>
    <w:rsid w:val="70A66401"/>
    <w:rsid w:val="7102305C"/>
    <w:rsid w:val="71BA2583"/>
    <w:rsid w:val="71DC5E53"/>
    <w:rsid w:val="71E03B95"/>
    <w:rsid w:val="71EA67C2"/>
    <w:rsid w:val="71F17B50"/>
    <w:rsid w:val="722F0239"/>
    <w:rsid w:val="72331F17"/>
    <w:rsid w:val="7249173A"/>
    <w:rsid w:val="72677E12"/>
    <w:rsid w:val="729728EB"/>
    <w:rsid w:val="72A050D2"/>
    <w:rsid w:val="72BB0EC2"/>
    <w:rsid w:val="72C60FDD"/>
    <w:rsid w:val="72E30FD5"/>
    <w:rsid w:val="72FA0C86"/>
    <w:rsid w:val="730B4C41"/>
    <w:rsid w:val="73283792"/>
    <w:rsid w:val="734E2D80"/>
    <w:rsid w:val="735760D9"/>
    <w:rsid w:val="737C6445"/>
    <w:rsid w:val="73A66718"/>
    <w:rsid w:val="74123DAE"/>
    <w:rsid w:val="74213FF1"/>
    <w:rsid w:val="74277859"/>
    <w:rsid w:val="742A10F7"/>
    <w:rsid w:val="744F0B5E"/>
    <w:rsid w:val="74670AA3"/>
    <w:rsid w:val="746D05CC"/>
    <w:rsid w:val="74713389"/>
    <w:rsid w:val="7496678D"/>
    <w:rsid w:val="749F7D37"/>
    <w:rsid w:val="74CC6652"/>
    <w:rsid w:val="74F040EF"/>
    <w:rsid w:val="750758DC"/>
    <w:rsid w:val="752559E5"/>
    <w:rsid w:val="752B5127"/>
    <w:rsid w:val="755723C0"/>
    <w:rsid w:val="755D72AA"/>
    <w:rsid w:val="756B7C19"/>
    <w:rsid w:val="75875518"/>
    <w:rsid w:val="758E3908"/>
    <w:rsid w:val="759A405B"/>
    <w:rsid w:val="75BD2ED2"/>
    <w:rsid w:val="75C54718"/>
    <w:rsid w:val="75CD61DE"/>
    <w:rsid w:val="75D67534"/>
    <w:rsid w:val="761B75CE"/>
    <w:rsid w:val="762116DB"/>
    <w:rsid w:val="764A0335"/>
    <w:rsid w:val="767B20DE"/>
    <w:rsid w:val="76830F93"/>
    <w:rsid w:val="769211D6"/>
    <w:rsid w:val="76B37ACA"/>
    <w:rsid w:val="76D338D8"/>
    <w:rsid w:val="76E94E08"/>
    <w:rsid w:val="76EA2DC0"/>
    <w:rsid w:val="76F36118"/>
    <w:rsid w:val="76FD2AF3"/>
    <w:rsid w:val="77155345"/>
    <w:rsid w:val="7722255A"/>
    <w:rsid w:val="77CD6969"/>
    <w:rsid w:val="77F622BE"/>
    <w:rsid w:val="77F9775E"/>
    <w:rsid w:val="780A1873"/>
    <w:rsid w:val="786F5C73"/>
    <w:rsid w:val="78970D25"/>
    <w:rsid w:val="78A27DF6"/>
    <w:rsid w:val="78EF290F"/>
    <w:rsid w:val="78F80068"/>
    <w:rsid w:val="79274E02"/>
    <w:rsid w:val="792F0DD0"/>
    <w:rsid w:val="79386064"/>
    <w:rsid w:val="794C1B10"/>
    <w:rsid w:val="794D47A2"/>
    <w:rsid w:val="79A065FC"/>
    <w:rsid w:val="79E26A64"/>
    <w:rsid w:val="7A2A00A3"/>
    <w:rsid w:val="7A2A656B"/>
    <w:rsid w:val="7A37631C"/>
    <w:rsid w:val="7A7550F2"/>
    <w:rsid w:val="7A772BBC"/>
    <w:rsid w:val="7A881C12"/>
    <w:rsid w:val="7AAD2A82"/>
    <w:rsid w:val="7AB12572"/>
    <w:rsid w:val="7AC5601E"/>
    <w:rsid w:val="7AD46261"/>
    <w:rsid w:val="7B3F07AB"/>
    <w:rsid w:val="7B737828"/>
    <w:rsid w:val="7B821819"/>
    <w:rsid w:val="7B933A26"/>
    <w:rsid w:val="7BBA5457"/>
    <w:rsid w:val="7BBA7205"/>
    <w:rsid w:val="7BC2255D"/>
    <w:rsid w:val="7BE91898"/>
    <w:rsid w:val="7C037D98"/>
    <w:rsid w:val="7C0D0F4B"/>
    <w:rsid w:val="7C2823C0"/>
    <w:rsid w:val="7C3768DB"/>
    <w:rsid w:val="7C4411C4"/>
    <w:rsid w:val="7C833A9B"/>
    <w:rsid w:val="7CB458B4"/>
    <w:rsid w:val="7CE042A6"/>
    <w:rsid w:val="7CE65DD7"/>
    <w:rsid w:val="7CE87DA1"/>
    <w:rsid w:val="7CF130FA"/>
    <w:rsid w:val="7D1D5C9D"/>
    <w:rsid w:val="7D751CB9"/>
    <w:rsid w:val="7DBE3374"/>
    <w:rsid w:val="7DD37F51"/>
    <w:rsid w:val="7DD520D4"/>
    <w:rsid w:val="7DF82266"/>
    <w:rsid w:val="7E494870"/>
    <w:rsid w:val="7E4B4A8C"/>
    <w:rsid w:val="7E6F6D24"/>
    <w:rsid w:val="7E9F0934"/>
    <w:rsid w:val="7ECD724F"/>
    <w:rsid w:val="7F111018"/>
    <w:rsid w:val="7F5B485B"/>
    <w:rsid w:val="7F923FF5"/>
    <w:rsid w:val="7F9D4E73"/>
    <w:rsid w:val="7FBC3604"/>
    <w:rsid w:val="7FBD72C3"/>
    <w:rsid w:val="7FD14B1D"/>
    <w:rsid w:val="7FE74340"/>
    <w:rsid w:val="7FF30F37"/>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pPr>
    <w:rPr>
      <w:rFonts w:asciiTheme="minorHAnsi" w:hAnsiTheme="minorHAnsi" w:eastAsiaTheme="minorEastAsia" w:cstheme="minorBidi"/>
      <w:sz w:val="22"/>
      <w:szCs w:val="22"/>
      <w:lang w:val="en-US" w:eastAsia="en-US" w:bidi="ar-SA"/>
    </w:rPr>
  </w:style>
  <w:style w:type="paragraph" w:styleId="3">
    <w:name w:val="heading 1"/>
    <w:basedOn w:val="1"/>
    <w:next w:val="1"/>
    <w:autoRedefine/>
    <w:qFormat/>
    <w:uiPriority w:val="1"/>
    <w:pPr>
      <w:ind w:left="100"/>
      <w:outlineLvl w:val="0"/>
    </w:pPr>
    <w:rPr>
      <w:rFonts w:ascii="宋体" w:hAnsi="宋体" w:eastAsia="宋体"/>
      <w:sz w:val="36"/>
      <w:szCs w:val="36"/>
    </w:rPr>
  </w:style>
  <w:style w:type="paragraph" w:styleId="4">
    <w:name w:val="heading 2"/>
    <w:basedOn w:val="1"/>
    <w:next w:val="1"/>
    <w:autoRedefine/>
    <w:qFormat/>
    <w:uiPriority w:val="1"/>
    <w:pPr>
      <w:ind w:left="-21" w:firstLine="2592"/>
      <w:outlineLvl w:val="1"/>
    </w:pPr>
    <w:rPr>
      <w:rFonts w:ascii="宋体" w:hAnsi="宋体" w:eastAsia="宋体"/>
      <w:sz w:val="32"/>
      <w:szCs w:val="32"/>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1"/>
    <w:pPr>
      <w:spacing w:before="207"/>
      <w:ind w:left="120"/>
    </w:pPr>
    <w:rPr>
      <w:rFonts w:ascii="宋体" w:hAnsi="宋体" w:eastAsia="宋体"/>
      <w:sz w:val="30"/>
      <w:szCs w:val="30"/>
    </w:rPr>
  </w:style>
  <w:style w:type="paragraph" w:styleId="5">
    <w:name w:val="annotation text"/>
    <w:basedOn w:val="1"/>
    <w:autoRedefine/>
    <w:semiHidden/>
    <w:unhideWhenUsed/>
    <w:qFormat/>
    <w:uiPriority w:val="99"/>
  </w:style>
  <w:style w:type="paragraph" w:styleId="6">
    <w:name w:val="footer"/>
    <w:basedOn w:val="1"/>
    <w:link w:val="18"/>
    <w:autoRedefine/>
    <w:unhideWhenUsed/>
    <w:qFormat/>
    <w:uiPriority w:val="99"/>
    <w:pPr>
      <w:tabs>
        <w:tab w:val="center" w:pos="4153"/>
        <w:tab w:val="right" w:pos="8306"/>
      </w:tabs>
      <w:snapToGrid w:val="0"/>
    </w:pPr>
    <w:rPr>
      <w:sz w:val="18"/>
      <w:szCs w:val="18"/>
    </w:rPr>
  </w:style>
  <w:style w:type="paragraph" w:styleId="7">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autoRedefine/>
    <w:semiHidden/>
    <w:unhideWhenUsed/>
    <w:qFormat/>
    <w:uiPriority w:val="99"/>
    <w:pPr>
      <w:snapToGrid w:val="0"/>
    </w:pPr>
    <w:rPr>
      <w:sz w:val="18"/>
    </w:rPr>
  </w:style>
  <w:style w:type="table" w:styleId="10">
    <w:name w:val="Table Grid"/>
    <w:basedOn w:val="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otnote reference"/>
    <w:basedOn w:val="11"/>
    <w:autoRedefine/>
    <w:semiHidden/>
    <w:unhideWhenUsed/>
    <w:qFormat/>
    <w:uiPriority w:val="99"/>
    <w:rPr>
      <w:vertAlign w:val="superscript"/>
    </w:rPr>
  </w:style>
  <w:style w:type="table" w:customStyle="1" w:styleId="13">
    <w:name w:val="Table Normal"/>
    <w:autoRedefine/>
    <w:semiHidden/>
    <w:unhideWhenUsed/>
    <w:qFormat/>
    <w:uiPriority w:val="2"/>
    <w:tblPr>
      <w:tblCellMar>
        <w:top w:w="0" w:type="dxa"/>
        <w:left w:w="0" w:type="dxa"/>
        <w:bottom w:w="0" w:type="dxa"/>
        <w:right w:w="0" w:type="dxa"/>
      </w:tblCellMar>
    </w:tblPr>
  </w:style>
  <w:style w:type="paragraph" w:styleId="14">
    <w:name w:val="List Paragraph"/>
    <w:basedOn w:val="1"/>
    <w:autoRedefine/>
    <w:qFormat/>
    <w:uiPriority w:val="1"/>
  </w:style>
  <w:style w:type="paragraph" w:customStyle="1" w:styleId="15">
    <w:name w:val="Table Paragraph"/>
    <w:basedOn w:val="1"/>
    <w:autoRedefine/>
    <w:qFormat/>
    <w:uiPriority w:val="1"/>
  </w:style>
  <w:style w:type="paragraph" w:customStyle="1" w:styleId="16">
    <w:name w:val="Default"/>
    <w:autoRedefine/>
    <w:qFormat/>
    <w:uiPriority w:val="0"/>
    <w:pPr>
      <w:widowControl w:val="0"/>
      <w:autoSpaceDE w:val="0"/>
      <w:autoSpaceDN w:val="0"/>
      <w:adjustRightInd w:val="0"/>
    </w:pPr>
    <w:rPr>
      <w:rFonts w:ascii="方正黑体_GBK" w:hAnsi="方正黑体_GBK" w:cs="方正黑体_GBK" w:eastAsiaTheme="minorEastAsia"/>
      <w:color w:val="000000"/>
      <w:sz w:val="24"/>
      <w:szCs w:val="24"/>
      <w:lang w:val="en-US" w:eastAsia="en-US" w:bidi="ar-SA"/>
    </w:rPr>
  </w:style>
  <w:style w:type="character" w:customStyle="1" w:styleId="17">
    <w:name w:val="页眉 Char"/>
    <w:basedOn w:val="11"/>
    <w:link w:val="7"/>
    <w:autoRedefine/>
    <w:qFormat/>
    <w:uiPriority w:val="99"/>
    <w:rPr>
      <w:sz w:val="18"/>
      <w:szCs w:val="18"/>
    </w:rPr>
  </w:style>
  <w:style w:type="character" w:customStyle="1" w:styleId="18">
    <w:name w:val="页脚 Char"/>
    <w:basedOn w:val="11"/>
    <w:link w:val="6"/>
    <w:autoRedefine/>
    <w:qFormat/>
    <w:uiPriority w:val="99"/>
    <w:rPr>
      <w:sz w:val="18"/>
      <w:szCs w:val="18"/>
    </w:rPr>
  </w:style>
  <w:style w:type="paragraph" w:customStyle="1" w:styleId="19">
    <w:name w:val="段"/>
    <w:next w:val="1"/>
    <w:autoRedefine/>
    <w:qFormat/>
    <w:uiPriority w:val="0"/>
    <w:pPr>
      <w:autoSpaceDE w:val="0"/>
      <w:autoSpaceDN w:val="0"/>
      <w:ind w:firstLine="200"/>
      <w:jc w:val="both"/>
    </w:pPr>
    <w:rPr>
      <w:rFonts w:ascii="宋体" w:hAnsi="Times New Roman" w:eastAsia="宋体" w:cs="Times New Roman"/>
      <w:sz w:val="21"/>
      <w:szCs w:val="22"/>
      <w:lang w:val="en-US" w:eastAsia="zh-CN" w:bidi="ar-SA"/>
    </w:rPr>
  </w:style>
  <w:style w:type="character" w:customStyle="1" w:styleId="20">
    <w:name w:val="font11"/>
    <w:basedOn w:val="11"/>
    <w:qFormat/>
    <w:uiPriority w:val="0"/>
    <w:rPr>
      <w:rFonts w:hint="eastAsia" w:ascii="宋体" w:hAnsi="宋体" w:eastAsia="宋体" w:cs="宋体"/>
      <w:color w:val="000000"/>
      <w:sz w:val="22"/>
      <w:szCs w:val="22"/>
      <w:u w:val="none"/>
    </w:rPr>
  </w:style>
  <w:style w:type="character" w:customStyle="1" w:styleId="21">
    <w:name w:val="font51"/>
    <w:basedOn w:val="11"/>
    <w:qFormat/>
    <w:uiPriority w:val="0"/>
    <w:rPr>
      <w:rFonts w:hint="default" w:ascii="Times New Roman" w:hAnsi="Times New Roman" w:cs="Times New Roman"/>
      <w:color w:val="000000"/>
      <w:sz w:val="22"/>
      <w:szCs w:val="22"/>
      <w:u w:val="none"/>
    </w:rPr>
  </w:style>
  <w:style w:type="character" w:customStyle="1" w:styleId="22">
    <w:name w:val="font41"/>
    <w:basedOn w:val="11"/>
    <w:qFormat/>
    <w:uiPriority w:val="0"/>
    <w:rPr>
      <w:rFonts w:hint="eastAsia" w:ascii="宋体" w:hAnsi="宋体" w:eastAsia="宋体" w:cs="宋体"/>
      <w:color w:val="000000"/>
      <w:sz w:val="22"/>
      <w:szCs w:val="22"/>
      <w:u w:val="none"/>
    </w:rPr>
  </w:style>
  <w:style w:type="character" w:customStyle="1" w:styleId="23">
    <w:name w:val="font31"/>
    <w:basedOn w:val="11"/>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724e0168-755c-481e-9aad-53bf0ec4ad50</errorID>
      <errorWord>根据苏州高新区统筹区域供水调查评估报告显示</errorWord>
      <group>L1_Grammar</group>
      <groupName>语法问题</groupName>
      <ability>L2_Grammar</ability>
      <abilityName>语法错误</abilityName>
      <candidateList>
        <item>根据苏州高新区统筹区域供水调查评估报告</item>
      </candidateList>
      <explain/>
      <paraID>49942DFC</paraID>
      <start>0</start>
      <end>21</end>
      <status>unmodified</status>
      <modifiedWord/>
      <trackRevisions>false</trackRevisions>
    </reviewItem>
    <reviewItem>
      <errorID>86c0625f-baac-42bc-962f-0a4daea901d0</errorID>
      <errorWord>片区转</errorWord>
      <group>L1_Word</group>
      <groupName>字词问题</groupName>
      <ability>L2_Typo</ability>
      <abilityName>字词错误</abilityName>
      <candidateList>
        <item>片区</item>
      </candidateList>
      <explain/>
      <paraID>49942DFC</paraID>
      <start>115</start>
      <end>118</end>
      <status>unmodified</status>
      <modifiedWord/>
      <trackRevisions>false</trackRevisions>
    </reviewItem>
    <reviewItem>
      <errorID>49931063-b28d-4595-aa2f-6cc4b6ac3180</errorID>
      <errorWord>亟需</errorWord>
      <group>L1_Word</group>
      <groupName>字词问题</groupName>
      <ability>L2_Typo</ability>
      <abilityName>字词错误</abilityName>
      <candidateList>
        <item>亟须</item>
      </candidateList>
      <explain/>
      <paraID>49942DFC</paraID>
      <start>128</start>
      <end>130</end>
      <status>unmodified</status>
      <modifiedWord/>
      <trackRevisions>false</trackRevisions>
    </reviewItem>
    <reviewItem>
      <errorID>3ac70d7d-658a-42d9-a5a2-24ca2959647b</errorID>
      <errorWord>-</errorWord>
      <group>L1_Format</group>
      <groupName>格式问题</groupName>
      <ability>L2_HalfPunc_CN</ability>
      <abilityName/>
      <candidateList>
        <item>－</item>
      </candidateList>
      <explain>文本全半角错误。</explain>
      <paraID>47E0100E</paraID>
      <start>134</start>
      <end>135</end>
      <status>unmodified</status>
      <modifiedWord/>
      <trackRevisions>false</trackRevisions>
    </reviewItem>
    <reviewItem>
      <errorID>2b1214cf-fe4f-464e-88dc-977ca07fbf4d</errorID>
      <errorWord>-</errorWord>
      <group>L1_Format</group>
      <groupName>格式问题</groupName>
      <ability>L2_HalfPunc_CN</ability>
      <abilityName/>
      <candidateList>
        <item>－</item>
      </candidateList>
      <explain>文本全半角错误。</explain>
      <paraID>47E0100E</paraID>
      <start>147</start>
      <end>148</end>
      <status>unmodified</status>
      <modifiedWord/>
      <trackRevisions>false</trackRevisions>
    </reviewItem>
    <reviewItem>
      <errorID>a7fc68b8-6d23-490a-bb6e-0ae9558ee2b1</errorID>
      <errorWord>-</errorWord>
      <group>L1_Format</group>
      <groupName>格式问题</groupName>
      <ability>L2_HalfPunc_CN</ability>
      <abilityName/>
      <candidateList>
        <item>－</item>
      </candidateList>
      <explain>文本全半角错误。</explain>
      <paraID>47E0100E</paraID>
      <start>163</start>
      <end>164</end>
      <status>unmodified</status>
      <modifiedWord/>
      <trackRevisions>false</trackRevisions>
    </reviewItem>
    <reviewItem>
      <errorID>7514df6b-bd96-4cfd-aae3-3f2c58b49c88</errorID>
      <errorWord>-</errorWord>
      <group>L1_Format</group>
      <groupName>格式问题</groupName>
      <ability>L2_HalfPunc_CN</ability>
      <abilityName/>
      <candidateList>
        <item>－</item>
      </candidateList>
      <explain>文本全半角错误。</explain>
      <paraID>47E0100E</paraID>
      <start>262</start>
      <end>263</end>
      <status>unmodified</status>
      <modifiedWord/>
      <trackRevisions>false</trackRevisions>
    </reviewItem>
    <reviewItem>
      <errorID>6129a85a-dbd0-47fb-8008-c9bf0990a73e</errorID>
      <errorWord>-</errorWord>
      <group>L1_Format</group>
      <groupName>格式问题</groupName>
      <ability>L2_HalfPunc_CN</ability>
      <abilityName/>
      <candidateList>
        <item>－</item>
      </candidateList>
      <explain>文本全半角错误。</explain>
      <paraID>47E0100E</paraID>
      <start>275</start>
      <end>276</end>
      <status>unmodified</status>
      <modifiedWord/>
      <trackRevisions>false</trackRevisions>
    </reviewItem>
    <reviewItem>
      <errorID>c2034347-1904-4173-95da-35361576d911</errorID>
      <errorWord>,</errorWord>
      <group>L1_Format</group>
      <groupName>格式问题</groupName>
      <ability>L2_HalfPunc_CN</ability>
      <abilityName/>
      <candidateList>
        <item>，</item>
      </candidateList>
      <explain>文本全半角错误。</explain>
      <paraID>2AEDD6A4</paraID>
      <start>39</start>
      <end>40</end>
      <status>unmodified</status>
      <modifiedWord/>
      <trackRevisions>false</trackRevisions>
    </reviewItem>
    <reviewItem>
      <errorID>771bad88-25e9-4391-bf73-9d2a78784cb4</errorID>
      <errorWord>(</errorWord>
      <group>L1_Format</group>
      <groupName>格式问题</groupName>
      <ability>L2_HalfPunc_CN</ability>
      <abilityName/>
      <candidateList>
        <item>（</item>
      </candidateList>
      <explain>文本全半角错误。</explain>
      <paraID>27392383</paraID>
      <start>21</start>
      <end>22</end>
      <status>unmodified</status>
      <modifiedWord/>
      <trackRevisions>false</trackRevisions>
    </reviewItem>
    <reviewItem>
      <errorID>91d9ff74-723d-4a04-b9e8-fc72dc0bf6d9</errorID>
      <errorWord>)</errorWord>
      <group>L1_Format</group>
      <groupName>格式问题</groupName>
      <ability>L2_HalfPunc_CN</ability>
      <abilityName/>
      <candidateList>
        <item>）</item>
      </candidateList>
      <explain>文本全半角错误。</explain>
      <paraID>27392383</paraID>
      <start>24</start>
      <end>25</end>
      <status>unmodified</status>
      <modifiedWord/>
      <trackRevisions>false</trackRevisions>
    </reviewItem>
    <reviewItem>
      <errorID>22be7bbb-3f7e-4583-b1e9-a3a3f5a8fe10</errorID>
      <errorWord>(</errorWord>
      <group>L1_Format</group>
      <groupName>格式问题</groupName>
      <ability>L2_HalfPunc_CN</ability>
      <abilityName/>
      <candidateList>
        <item>（</item>
      </candidateList>
      <explain>文本全半角错误。</explain>
      <paraID>27392383</paraID>
      <start>40</start>
      <end>41</end>
      <status>unmodified</status>
      <modifiedWord/>
      <trackRevisions>false</trackRevisions>
    </reviewItem>
    <reviewItem>
      <errorID>32b89df7-a357-4f4c-bdc8-d20f8b827a58</errorID>
      <errorWord>)</errorWord>
      <group>L1_Format</group>
      <groupName>格式问题</groupName>
      <ability>L2_HalfPunc_CN</ability>
      <abilityName/>
      <candidateList>
        <item>）</item>
      </candidateList>
      <explain>文本全半角错误。</explain>
      <paraID>27392383</paraID>
      <start>43</start>
      <end>44</end>
      <status>unmodified</status>
      <modifiedWord/>
      <trackRevisions>false</trackRevisions>
    </reviewItem>
    <reviewItem>
      <errorID>705a3df0-0b0a-4301-9192-2885e6aef249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35922CD1</paraID>
      <start>37</start>
      <end>38</end>
      <status>unmodified</status>
      <modifiedWord/>
      <trackRevisions>false</trackRevisions>
    </reviewItem>
    <reviewItem>
      <errorID>6193e144-8f8b-41e6-b8fd-b9fe5ea6204f</errorID>
      <errorWord>&lt;</errorWord>
      <group>L1_Format</group>
      <groupName>格式问题</groupName>
      <ability>L2_HalfPunc_CN</ability>
      <abilityName/>
      <candidateList>
        <item>〈</item>
      </candidateList>
      <explain>文本全半角错误。</explain>
      <paraID>244EB64A</paraID>
      <start>7</start>
      <end>8</end>
      <status>unmodified</status>
      <modifiedWord/>
      <trackRevisions>false</trackRevisions>
    </reviewItem>
    <reviewItem>
      <errorID>2db2580d-0f7d-42f4-ae81-f9b25bbb2f67</errorID>
      <errorWord>&gt;的通知》</errorWord>
      <group>L1_Punc</group>
      <groupName>标点问题</groupName>
      <ability>L2_Punc_CN</ability>
      <abilityName/>
      <candidateList>
        <item>〉的通知》</item>
      </candidateList>
      <explain/>
      <paraID>244EB64A</paraID>
      <start>26</start>
      <end>31</end>
      <status>unmodified</status>
      <modifiedWord/>
      <trackRevisions>false</trackRevisions>
    </reviewItem>
    <reviewItem>
      <errorID>fdfe1ed0-0645-433f-b8b4-29dcb0758e61</errorID>
      <errorWord>,</errorWord>
      <group>L1_Format</group>
      <groupName>格式问题</groupName>
      <ability>L2_HalfPunc_CN</ability>
      <abilityName/>
      <candidateList>
        <item>，</item>
      </candidateList>
      <explain>文本全半角错误。</explain>
      <paraID>6EAF79D0</paraID>
      <start>54</start>
      <end>55</end>
      <status>unmodified</status>
      <modifiedWord/>
      <trackRevisions>false</trackRevisions>
    </reviewItem>
    <reviewItem>
      <errorID>f34b8343-1429-4b04-8f82-172cc8f25b2d</errorID>
      <errorWord>(</errorWord>
      <group>L1_Format</group>
      <groupName>格式问题</groupName>
      <ability>L2_HalfPunc_CN</ability>
      <abilityName/>
      <candidateList>
        <item>（</item>
      </candidateList>
      <explain>文本全半角错误。</explain>
      <paraID>69AA2AC1</paraID>
      <start>33</start>
      <end>34</end>
      <status>unmodified</status>
      <modifiedWord/>
      <trackRevisions>false</trackRevisions>
    </reviewItem>
    <reviewItem>
      <errorID>70570eb6-b4ab-465d-bc07-84cc03ed6c19</errorID>
      <errorWord>)</errorWord>
      <group>L1_Format</group>
      <groupName>格式问题</groupName>
      <ability>L2_HalfPunc_CN</ability>
      <abilityName/>
      <candidateList>
        <item>）</item>
      </candidateList>
      <explain>文本全半角错误。</explain>
      <paraID>69AA2AC1</paraID>
      <start>45</start>
      <end>46</end>
      <status>unmodified</status>
      <modifiedWord/>
      <trackRevisions>false</trackRevisions>
    </reviewItem>
    <reviewItem>
      <errorID>4362ace3-f641-4616-8a01-e807b4560a17</errorID>
      <errorWord>&lt;</errorWord>
      <group>L1_Format</group>
      <groupName>格式问题</groupName>
      <ability>L2_HalfPunc_CN</ability>
      <abilityName/>
      <candidateList>
        <item>〈</item>
      </candidateList>
      <explain>文本全半角错误。</explain>
      <paraID>6D831118</paraID>
      <start>11</start>
      <end>12</end>
      <status>unmodified</status>
      <modifiedWord/>
      <trackRevisions>false</trackRevisions>
    </reviewItem>
    <reviewItem>
      <errorID>e713ee8d-a8c0-42ff-b56d-f6e320c4f967</errorID>
      <errorWord>&gt;的通知》</errorWord>
      <group>L1_Punc</group>
      <groupName>标点问题</groupName>
      <ability>L2_Punc_CN</ability>
      <abilityName/>
      <candidateList>
        <item>〉的通知》</item>
      </candidateList>
      <explain/>
      <paraID>6D831118</paraID>
      <start>30</start>
      <end>35</end>
      <status>unmodified</status>
      <modifiedWord/>
      <trackRevisions>false</trackRevisions>
    </reviewItem>
    <reviewItem>
      <errorID>113ed508-5cbd-4758-a3b6-b7085bb39b77</errorID>
      <errorWord>(</errorWord>
      <group>L1_Format</group>
      <groupName>格式问题</groupName>
      <ability>L2_HalfPunc_CN</ability>
      <abilityName/>
      <candidateList>
        <item>（</item>
      </candidateList>
      <explain>文本全半角错误。</explain>
      <paraID>6D831118</paraID>
      <start>35</start>
      <end>36</end>
      <status>unmodified</status>
      <modifiedWord/>
      <trackRevisions>false</trackRevisions>
    </reviewItem>
    <reviewItem>
      <errorID>cfd99739-859f-4715-8fc5-dd77659a6295</errorID>
      <errorWord>)</errorWord>
      <group>L1_Format</group>
      <groupName>格式问题</groupName>
      <ability>L2_HalfPunc_CN</ability>
      <abilityName/>
      <candidateList>
        <item>）</item>
      </candidateList>
      <explain>文本全半角错误。</explain>
      <paraID>6D831118</paraID>
      <start>48</start>
      <end>49</end>
      <status>unmodified</status>
      <modifiedWord/>
      <trackRevisions>false</trackRevisions>
    </reviewItem>
    <reviewItem>
      <errorID>bc38c09f-f890-4f72-8692-7d36a9b17ed9</errorID>
      <errorWord>(</errorWord>
      <group>L1_Format</group>
      <groupName>格式问题</groupName>
      <ability>L2_HalfPunc_CN</ability>
      <abilityName/>
      <candidateList>
        <item>（</item>
      </candidateList>
      <explain>文本全半角错误。</explain>
      <paraID>78B09F4E</paraID>
      <start>32</start>
      <end>33</end>
      <status>unmodified</status>
      <modifiedWord/>
      <trackRevisions>false</trackRevisions>
    </reviewItem>
    <reviewItem>
      <errorID>847d786f-7143-42d5-948c-af752d9b1005</errorID>
      <errorWord>)</errorWord>
      <group>L1_Format</group>
      <groupName>格式问题</groupName>
      <ability>L2_HalfPunc_CN</ability>
      <abilityName/>
      <candidateList>
        <item>）</item>
      </candidateList>
      <explain>文本全半角错误。</explain>
      <paraID>78B09F4E</paraID>
      <start>45</start>
      <end>46</end>
      <status>unmodified</status>
      <modifiedWord/>
      <trackRevisions>false</trackRevisions>
    </reviewItem>
    <reviewItem>
      <errorID>2465f613-da6d-4a53-9529-686aa1346d13</errorID>
      <errorWord>(</errorWord>
      <group>L1_Format</group>
      <groupName>格式问题</groupName>
      <ability>L2_HalfPunc_CN</ability>
      <abilityName/>
      <candidateList>
        <item>（</item>
      </candidateList>
      <explain>文本全半角错误。</explain>
      <paraID>1A0DFCAB</paraID>
      <start>26</start>
      <end>27</end>
      <status>unmodified</status>
      <modifiedWord/>
      <trackRevisions>false</trackRevisions>
    </reviewItem>
    <reviewItem>
      <errorID>5b411c37-a257-47a2-b646-1f10f1ceed80</errorID>
      <errorWord>)</errorWord>
      <group>L1_Format</group>
      <groupName>格式问题</groupName>
      <ability>L2_HalfPunc_CN</ability>
      <abilityName/>
      <candidateList>
        <item>）</item>
      </candidateList>
      <explain>文本全半角错误。</explain>
      <paraID>1A0DFCAB</paraID>
      <start>40</start>
      <end>41</end>
      <status>unmodified</status>
      <modifiedWord/>
      <trackRevisions>false</trackRevisions>
    </reviewItem>
    <reviewItem>
      <errorID>7e8526e9-0f96-4411-8b60-4162eff2b93b</errorID>
      <errorWord>考察</errorWord>
      <group>L1_Word</group>
      <groupName>字词问题</groupName>
      <ability>L2_Typo</ability>
      <abilityName>字词错误</abilityName>
      <candidateList>
        <item>考查</item>
      </candidateList>
      <explain>〈动〉用一定的标准来检查衡量（行为、活动）：～学生的学业成绩。</explain>
      <paraID>4909778C</paraID>
      <start>37</start>
      <end>39</end>
      <status>unmodified</status>
      <modifiedWord/>
      <trackRevisions>false</trackRevisions>
    </reviewItem>
    <reviewItem>
      <errorID>50978443-3b87-4bf6-8436-d9a81c189668</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56F9DB4</paraID>
      <start>0</start>
      <end>3</end>
      <status>unmodified</status>
      <modifiedWord/>
      <trackRevisions>false</trackRevisions>
    </reviewItem>
    <reviewItem>
      <errorID>c6afd5fd-7900-44d7-a7fc-7531979afcfe</errorID>
      <errorWord>截止</errorWord>
      <group>L1_Word</group>
      <groupName>字词问题</groupName>
      <ability>L2_Typo</ability>
      <abilityName>字词错误</abilityName>
      <candidateList>
        <item>截至</item>
      </candidateList>
      <explain>存在发音相同字词的误用。</explain>
      <paraID> 9E39AB1</paraID>
      <start>5</start>
      <end>7</end>
      <status>unmodified</status>
      <modifiedWord/>
      <trackRevisions>false</trackRevisions>
    </reviewItem>
    <reviewItem>
      <errorID>1684f3d3-d9db-497d-9131-04f9f07d5efa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3F3B1DF0</paraID>
      <start>0</start>
      <end>3</end>
      <status>unmodified</status>
      <modifiedWord/>
      <trackRevisions>false</trackRevisions>
    </reviewItem>
    <reviewItem>
      <errorID>ca43cd25-4ffe-4719-8f13-f8cf6e224c2f</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50358FA0</paraID>
      <start>99</start>
      <end>102</end>
      <status>unmodified</status>
      <modifiedWord/>
      <trackRevisions>false</trackRevisions>
    </reviewItem>
    <reviewItem>
      <errorID>9e2335f2-8ef2-4c2d-aaa9-aeec6ac03b53</errorID>
      <errorWord>(</errorWord>
      <group>L1_Format</group>
      <groupName>格式问题</groupName>
      <ability>L2_HalfPunc_CN</ability>
      <abilityName/>
      <candidateList>
        <item>（</item>
      </candidateList>
      <explain>文本全半角错误。</explain>
      <paraID>50358FA0</paraID>
      <start>118</start>
      <end>119</end>
      <status>unmodified</status>
      <modifiedWord/>
      <trackRevisions>false</trackRevisions>
    </reviewItem>
    <reviewItem>
      <errorID>5d93989c-1ce7-4c9a-abd6-ce4520a1b20c</errorID>
      <errorWord>)</errorWord>
      <group>L1_Format</group>
      <groupName>格式问题</groupName>
      <ability>L2_HalfPunc_CN</ability>
      <abilityName/>
      <candidateList>
        <item>）</item>
      </candidateList>
      <explain>文本全半角错误。</explain>
      <paraID>50358FA0</paraID>
      <start>121</start>
      <end>122</end>
      <status>unmodified</status>
      <modifiedWord/>
      <trackRevisions>false</trackRevisions>
    </reviewItem>
    <reviewItem>
      <errorID>39cb1e2a-301d-4169-8a14-19ae0c39a0b7</errorID>
      <errorWord>(</errorWord>
      <group>L1_Format</group>
      <groupName>格式问题</groupName>
      <ability>L2_HalfPunc_CN</ability>
      <abilityName/>
      <candidateList>
        <item>（</item>
      </candidateList>
      <explain>文本全半角错误。</explain>
      <paraID>50358FA0</paraID>
      <start>137</start>
      <end>138</end>
      <status>unmodified</status>
      <modifiedWord/>
      <trackRevisions>false</trackRevisions>
    </reviewItem>
    <reviewItem>
      <errorID>a2b2dca2-f532-41f5-862a-2af256cb6b3a</errorID>
      <errorWord>)</errorWord>
      <group>L1_Format</group>
      <groupName>格式问题</groupName>
      <ability>L2_HalfPunc_CN</ability>
      <abilityName/>
      <candidateList>
        <item>）</item>
      </candidateList>
      <explain>文本全半角错误。</explain>
      <paraID>50358FA0</paraID>
      <start>140</start>
      <end>141</end>
      <status>unmodified</status>
      <modifiedWord/>
      <trackRevisions>false</trackRevisions>
    </reviewItem>
    <reviewItem>
      <errorID>0422916b-b158-42f7-ad42-306a4ee54a6c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4F5FCCFE</paraID>
      <start>0</start>
      <end>3</end>
      <status>unmodified</status>
      <modifiedWord/>
      <trackRevisions>false</trackRevisions>
    </reviewItem>
    <reviewItem>
      <errorID>1b82f86c-c419-4f4e-af64-83686662e995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751D37D7</paraID>
      <start>0</start>
      <end>3</end>
      <status>unmodified</status>
      <modifiedWord/>
      <trackRevisions>false</trackRevisions>
    </reviewItem>
    <reviewItem>
      <errorID>68ab5f22-5efa-4731-b77b-15d0028a3e56</errorID>
      <errorWord>,</errorWord>
      <group>L1_Format</group>
      <groupName>格式问题</groupName>
      <ability>L2_HalfPunc_CN</ability>
      <abilityName/>
      <candidateList>
        <item>，</item>
      </candidateList>
      <explain>文本全半角错误。</explain>
      <paraID>   CC84E</paraID>
      <start>7</start>
      <end>8</end>
      <status>unmodified</status>
      <modifiedWord/>
      <trackRevisions>false</trackRevisions>
    </reviewItem>
    <reviewItem>
      <errorID>bc69a7cc-c1d8-4f82-a37a-f55fa20de80c</errorID>
      <errorWord>(</errorWord>
      <group>L1_Format</group>
      <groupName>格式问题</groupName>
      <ability>L2_HalfPunc_CN</ability>
      <abilityName/>
      <candidateList>
        <item>（</item>
      </candidateList>
      <explain>文本全半角错误。</explain>
      <paraID>   CC84E</paraID>
      <start>95</start>
      <end>96</end>
      <status>unmodified</status>
      <modifiedWord/>
      <trackRevisions>false</trackRevisions>
    </reviewItem>
    <reviewItem>
      <errorID>09c045c7-2659-420a-ac2a-9887095bc9ea</errorID>
      <errorWord>)</errorWord>
      <group>L1_Format</group>
      <groupName>格式问题</groupName>
      <ability>L2_HalfPunc_CN</ability>
      <abilityName/>
      <candidateList>
        <item>）</item>
      </candidateList>
      <explain>文本全半角错误。</explain>
      <paraID>   CC84E</paraID>
      <start>109</start>
      <end>110</end>
      <status>unmodified</status>
      <modifiedWord/>
      <trackRevisions>false</trackRevisions>
    </reviewItem>
    <reviewItem>
      <errorID>d2db5a52-c7d2-4723-8dd0-e8b1bb65948b</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CC84E</paraID>
      <start>174</start>
      <end>177</end>
      <status>unmodified</status>
      <modifiedWord/>
      <trackRevisions>false</trackRevisions>
    </reviewItem>
    <reviewItem>
      <errorID>12319559-ff55-4ea1-b7fe-5a0e1e2af9b1</errorID>
      <errorWord>,</errorWord>
      <group>L1_Format</group>
      <groupName>格式问题</groupName>
      <ability>L2_HalfPunc_CN</ability>
      <abilityName/>
      <candidateList>
        <item>，</item>
      </candidateList>
      <explain>文本全半角错误。</explain>
      <paraID>   CC84E</paraID>
      <start>209</start>
      <end>210</end>
      <status>unmodified</status>
      <modifiedWord/>
      <trackRevisions>false</trackRevisions>
    </reviewItem>
    <reviewItem>
      <errorID>177977c4-40f6-4616-888d-8b5f193ef03a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32E6A1D7</paraID>
      <start>0</start>
      <end>3</end>
      <status>unmodified</status>
      <modifiedWord/>
      <trackRevisions>false</trackRevisions>
    </reviewItem>
    <reviewItem>
      <errorID>393375fc-a453-4574-b8c6-75c3c6da3bc8</errorID>
      <errorWord>,</errorWord>
      <group>L1_Format</group>
      <groupName>格式问题</groupName>
      <ability>L2_HalfPunc_CN</ability>
      <abilityName/>
      <candidateList>
        <item>，</item>
      </candidateList>
      <explain>文本全半角错误。</explain>
      <paraID>4A61269C</paraID>
      <start>7</start>
      <end>8</end>
      <status>unmodified</status>
      <modifiedWord/>
      <trackRevisions>false</trackRevisions>
    </reviewItem>
    <reviewItem>
      <errorID>f44e532f-8f13-4a10-9c57-35f3e1dbc63b</errorID>
      <errorWord>,</errorWord>
      <group>L1_Format</group>
      <groupName>格式问题</groupName>
      <ability>L2_HalfPunc_CN</ability>
      <abilityName/>
      <candidateList>
        <item>，</item>
      </candidateList>
      <explain>文本全半角错误。</explain>
      <paraID>4A61269C</paraID>
      <start>70</start>
      <end>71</end>
      <status>unmodified</status>
      <modifiedWord/>
      <trackRevisions>false</trackRevisions>
    </reviewItem>
    <reviewItem>
      <errorID>71d7ab47-4ff3-4a17-942a-4161e1b5c1e9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19C8A3E</paraID>
      <start>0</start>
      <end>3</end>
      <status>unmodified</status>
      <modifiedWord/>
      <trackRevisions>false</trackRevisions>
    </reviewItem>
    <reviewItem>
      <errorID>30c58ea7-a00d-4530-9636-42523f716168</errorID>
      <errorWord>-</errorWord>
      <group>L1_Format</group>
      <groupName>格式问题</groupName>
      <ability>L2_HalfPunc_CN</ability>
      <abilityName/>
      <candidateList>
        <item>－</item>
      </candidateList>
      <explain>文本全半角错误。</explain>
      <paraID>571AA350</paraID>
      <start>2</start>
      <end>3</end>
      <status>unmodified</status>
      <modifiedWord/>
      <trackRevisions>false</trackRevisions>
    </reviewItem>
    <reviewItem>
      <errorID>8aca03d0-311c-42ff-93e2-72e48f79ae62</errorID>
      <errorWord>-</errorWord>
      <group>L1_Format</group>
      <groupName>格式问题</groupName>
      <ability>L2_HalfPunc_CN</ability>
      <abilityName/>
      <candidateList>
        <item>－</item>
      </candidateList>
      <explain>文本全半角错误。</explain>
      <paraID>17F4C262</paraID>
      <start>2</start>
      <end>3</end>
      <status>unmodified</status>
      <modifiedWord/>
      <trackRevisions>false</trackRevisions>
    </reviewItem>
    <reviewItem>
      <errorID>6de4779d-4497-4dd1-9003-d9bc2ef2a0c4</errorID>
      <errorWord>-</errorWord>
      <group>L1_Format</group>
      <groupName>格式问题</groupName>
      <ability>L2_HalfPunc_CN</ability>
      <abilityName/>
      <candidateList>
        <item>－</item>
      </candidateList>
      <explain>文本全半角错误。</explain>
      <paraID>4DCEAB82</paraID>
      <start>4</start>
      <end>5</end>
      <status>unmodified</status>
      <modifiedWord/>
      <trackRevisions>false</trackRevisions>
    </reviewItem>
    <reviewItem>
      <errorID>33f641a9-a284-409b-903e-11bc94777f88</errorID>
      <errorWord>-</errorWord>
      <group>L1_Format</group>
      <groupName>格式问题</groupName>
      <ability>L2_HalfPunc_CN</ability>
      <abilityName/>
      <candidateList>
        <item>－</item>
      </candidateList>
      <explain>文本全半角错误。</explain>
      <paraID>399D3DA4</paraID>
      <start>7</start>
      <end>8</end>
      <status>unmodified</status>
      <modifiedWord/>
      <trackRevisions>false</trackRevisions>
    </reviewItem>
    <reviewItem>
      <errorID>877e790d-11a7-4ac2-9e55-49fb13efd9fb</errorID>
      <errorWord>-</errorWord>
      <group>L1_Format</group>
      <groupName>格式问题</groupName>
      <ability>L2_HalfPunc_CN</ability>
      <abilityName/>
      <candidateList>
        <item>－</item>
      </candidateList>
      <explain>文本全半角错误。</explain>
      <paraID>27913FE2</paraID>
      <start>7</start>
      <end>8</end>
      <status>unmodified</status>
      <modifiedWord/>
      <trackRevisions>false</trackRevisions>
    </reviewItem>
    <reviewItem>
      <errorID>40255a66-cf87-427a-a151-511a59db58a1</errorID>
      <errorWord>-</errorWord>
      <group>L1_Format</group>
      <groupName>格式问题</groupName>
      <ability>L2_HalfPunc_CN</ability>
      <abilityName/>
      <candidateList>
        <item>－</item>
      </candidateList>
      <explain>文本全半角错误。</explain>
      <paraID>37BDCA8B</paraID>
      <start>2</start>
      <end>3</end>
      <status>unmodified</status>
      <modifiedWord/>
      <trackRevisions>false</trackRevisions>
    </reviewItem>
    <reviewItem>
      <errorID>c7dadb75-a207-4435-af83-07ff786be53f</errorID>
      <errorWord>-</errorWord>
      <group>L1_Format</group>
      <groupName>格式问题</groupName>
      <ability>L2_HalfPunc_CN</ability>
      <abilityName/>
      <candidateList>
        <item>－</item>
      </candidateList>
      <explain>文本全半角错误。</explain>
      <paraID>6DBBB958</paraID>
      <start>2</start>
      <end>3</end>
      <status>unmodified</status>
      <modifiedWord/>
      <trackRevisions>false</trackRevisions>
    </reviewItem>
    <reviewItem>
      <errorID>eec04939-73ca-4822-a259-3cca5fbb276f</errorID>
      <errorWord>-</errorWord>
      <group>L1_Format</group>
      <groupName>格式问题</groupName>
      <ability>L2_HalfPunc_CN</ability>
      <abilityName/>
      <candidateList>
        <item>－</item>
      </candidateList>
      <explain>文本全半角错误。</explain>
      <paraID> D582983</paraID>
      <start>2</start>
      <end>3</end>
      <status>unmodified</status>
      <modifiedWord/>
      <trackRevisions>false</trackRevisions>
    </reviewItem>
    <reviewItem>
      <errorID>8fb45705-a1e6-4666-bc05-00561b9b58ba</errorID>
      <errorWord>-</errorWord>
      <group>L1_Format</group>
      <groupName>格式问题</groupName>
      <ability>L2_HalfPunc_CN</ability>
      <abilityName/>
      <candidateList>
        <item>－</item>
      </candidateList>
      <explain>文本全半角错误。</explain>
      <paraID>18E6F3B3</paraID>
      <start>7</start>
      <end>8</end>
      <status>unmodified</status>
      <modifiedWord/>
      <trackRevisions>false</trackRevisions>
    </reviewItem>
    <reviewItem>
      <errorID>a1264830-ed37-4eb8-97cf-a563999f4110</errorID>
      <errorWord>-</errorWord>
      <group>L1_Format</group>
      <groupName>格式问题</groupName>
      <ability>L2_HalfPunc_CN</ability>
      <abilityName/>
      <candidateList>
        <item>－</item>
      </candidateList>
      <explain>文本全半角错误。</explain>
      <paraID>4A01A43B</paraID>
      <start>7</start>
      <end>8</end>
      <status>unmodified</status>
      <modifiedWord/>
      <trackRevisions>false</trackRevisions>
    </reviewItem>
    <reviewItem>
      <errorID>cc84efd2-eae7-4ef6-a13d-ba972828d3a4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759DE210</paraID>
      <start>0</start>
      <end>3</end>
      <status>unmodified</status>
      <modifiedWord/>
      <trackRevisions>false</trackRevisions>
    </reviewItem>
    <reviewItem>
      <errorID>154e2b57-2d4b-469f-8b4d-3090c4ae18b4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52B86AED</paraID>
      <start>0</start>
      <end>3</end>
      <status>unmodified</status>
      <modifiedWord/>
      <trackRevisions>false</trackRevisions>
    </reviewItem>
    <reviewItem>
      <errorID>50c76ceb-0f90-4b17-b200-d06794cd3956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4958DFF9</paraID>
      <start>0</start>
      <end>3</end>
      <status>unmodified</status>
      <modifiedWord/>
      <trackRevisions>false</trackRevisions>
    </reviewItem>
    <reviewItem>
      <errorID>abc109c4-080d-40bc-b880-18844f9d41ab</errorID>
      <errorWord>,</errorWord>
      <group>L1_Format</group>
      <groupName>格式问题</groupName>
      <ability>L2_HalfPunc_CN</ability>
      <abilityName/>
      <candidateList>
        <item>，</item>
      </candidateList>
      <explain>文本全半角错误。</explain>
      <paraID>5100AFF2</paraID>
      <start>105</start>
      <end>106</end>
      <status>unmodified</status>
      <modifiedWord/>
      <trackRevisions>false</trackRevisions>
    </reviewItem>
    <reviewItem>
      <errorID>8d5bd153-639b-4270-896e-ec56cc44338d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6B70A83C</paraID>
      <start>0</start>
      <end>3</end>
      <status>unmodified</status>
      <modifiedWord/>
      <trackRevisions>false</trackRevisions>
    </reviewItem>
    <reviewItem>
      <errorID>00eb4dde-7939-4e9f-b33f-2e981d7441cc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50605D26</paraID>
      <start>0</start>
      <end>3</end>
      <status>unmodified</status>
      <modifiedWord/>
      <trackRevisions>false</trackRevisions>
    </reviewItem>
    <reviewItem>
      <errorID>5f1161aa-b33a-4688-b8f6-f525269354e3</errorID>
      <errorWord>(</errorWord>
      <group>L1_Format</group>
      <groupName>格式问题</groupName>
      <ability>L2_HalfPunc_CN</ability>
      <abilityName/>
      <candidateList>
        <item>（</item>
      </candidateList>
      <explain>文本全半角错误。</explain>
      <paraID>30E0B973</paraID>
      <start>0</start>
      <end>1</end>
      <status>unmodified</status>
      <modifiedWord/>
      <trackRevisions>false</trackRevisions>
    </reviewItem>
    <reviewItem>
      <errorID>fac9abb5-3e3d-45d9-a806-43fe91f5bf89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17C183F7</paraID>
      <start>0</start>
      <end>3</end>
      <status>unmodified</status>
      <modifiedWord/>
      <trackRevisions>false</trackRevisions>
    </reviewItem>
    <reviewItem>
      <errorID>944b2b01-ed33-4437-97f7-cf380d3cda31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771E5CC7</paraID>
      <start>0</start>
      <end>3</end>
      <status>unmodified</status>
      <modifiedWord/>
      <trackRevisions>false</trackRevisions>
    </reviewItem>
    <reviewItem>
      <errorID>23cd2ca9-6d7d-4df5-a662-0b8b300f2059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4A3EC8FD</paraID>
      <start>0</start>
      <end>3</end>
      <status>unmodified</status>
      <modifiedWord/>
      <trackRevisions>false</trackRevisions>
    </reviewItem>
    <reviewItem>
      <errorID>d4fd87bb-5fd7-40c9-b935-e5cb34d6ce88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6B90F30</paraID>
      <start>0</start>
      <end>3</end>
      <status>unmodified</status>
      <modifiedWord/>
      <trackRevisions>false</trackRevisions>
    </reviewItem>
    <reviewItem>
      <errorID>5f18250f-e8d9-4fe8-b366-a9ccdb227c2d</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4ED82754</paraID>
      <start>42</start>
      <end>45</end>
      <status>unmodified</status>
      <modifiedWord/>
      <trackRevisions>false</trackRevisions>
    </reviewItem>
    <reviewItem>
      <errorID>ecd4db20-7388-476b-88f4-735720667ece</errorID>
      <errorWord>项目项目</errorWord>
      <group>L1_Word</group>
      <groupName>字词问题</groupName>
      <ability>L2_Typo</ability>
      <abilityName>字词错误</abilityName>
      <candidateList>
        <item>项目</item>
      </candidateList>
      <explain>〈名〉事物分成的门类：服务～｜体育～｜建设～。</explain>
      <paraID>4F106B8A</paraID>
      <start>48</start>
      <end>52</end>
      <status>unmodified</status>
      <modifiedWord/>
      <trackRevisions>false</trackRevisions>
    </reviewItem>
    <reviewItem>
      <errorID>3c79f1ee-51d1-4e6e-89b3-f7f3cac7354c</errorID>
      <errorWord>满意度</errorWord>
      <group>L1_Word</group>
      <groupName>字词问题</groupName>
      <ability>L2_Typo</ability>
      <abilityName>字词错误</abilityName>
      <candidateList>
        <item>满意</item>
      </candidateList>
      <explain/>
      <paraID>4F106B8A</paraID>
      <start>135</start>
      <end>138</end>
      <status>unmodified</status>
      <modifiedWord/>
      <trackRevisions>false</trackRevisions>
    </reviewItem>
    <reviewItem>
      <errorID>22bc895a-7f7f-4d61-a979-ebd37bc37f98</errorID>
      <errorWord>超</errorWord>
      <group>L1_Word</group>
      <groupName>字词问题</groupName>
      <ability>L2_Typo</ability>
      <abilityName>字词错误</abilityName>
      <candidateList>
        <item>超过</item>
      </candidateList>
      <explain/>
      <paraID>273179A5</paraID>
      <start>28</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a666fa-8cfb-4b89-ba41-41addf00e7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4757</Words>
  <Characters>5295</Characters>
  <Lines>23</Lines>
  <Paragraphs>6</Paragraphs>
  <TotalTime>10</TotalTime>
  <ScaleCrop>false</ScaleCrop>
  <LinksUpToDate>false</LinksUpToDate>
  <CharactersWithSpaces>5297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2021-08-19T09:37:00Z</dcterms:created>
  <dc:creator>张肖军(拟稿)</dc:creator>
  <cp:lastModifiedBy>yang </cp:lastModifiedBy>
  <dcterms:modified xsi:type="dcterms:W3CDTF">2026-06-26T12:46:03Z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2052-12.1.0.26895</vt:lpwstr>
  </property>
  <property fmtid="{D5CDD505-2E9C-101B-9397-08002B2CF9AE}" pid="6" name="ICV">
    <vt:lpwstr>C704E9D41BA24CD7B1BBBB0507853346_13</vt:lpwstr>
  </property>
  <property fmtid="{D5CDD505-2E9C-101B-9397-08002B2CF9AE}" pid="7" name="KSOTemplateDocerSaveRecord">
    <vt:lpwstr>eyJoZGlkIjoiNDA0Yzk3Mzc2OWRlNjViNTRhNTg1OGQwNjc5NmJjOWQiLCJ1c2VySWQiOiIyNDg1MDA4ODEifQ==</vt:lpwstr>
  </property>
</Properties>
</file>