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AB666">
      <w:pPr>
        <w:spacing w:before="9" w:line="574" w:lineRule="exact"/>
        <w:ind w:left="120"/>
        <w:rPr>
          <w:rFonts w:ascii="Times New Roman" w:hAnsi="Times New Roman" w:eastAsia="方正黑体_GBK" w:cs="Times New Roman"/>
          <w:sz w:val="32"/>
          <w:szCs w:val="32"/>
          <w:lang w:eastAsia="zh-CN"/>
        </w:rPr>
      </w:pPr>
      <w:r>
        <w:rPr>
          <w:rFonts w:ascii="Times New Roman" w:hAnsi="Times New Roman" w:eastAsia="方正黑体_GBK" w:cs="Times New Roman"/>
          <w:sz w:val="32"/>
          <w:szCs w:val="32"/>
          <w:lang w:eastAsia="zh-CN"/>
        </w:rPr>
        <w:t>附件3</w:t>
      </w:r>
    </w:p>
    <w:p w14:paraId="1E0E565C">
      <w:pPr>
        <w:spacing w:before="2" w:line="574" w:lineRule="exact"/>
        <w:rPr>
          <w:rFonts w:ascii="Times New Roman" w:hAnsi="Times New Roman" w:eastAsia="宋体" w:cs="Times New Roman"/>
          <w:sz w:val="27"/>
          <w:szCs w:val="27"/>
          <w:lang w:eastAsia="zh-CN"/>
        </w:rPr>
      </w:pPr>
    </w:p>
    <w:p w14:paraId="46EFD69C">
      <w:pPr>
        <w:spacing w:line="574" w:lineRule="exact"/>
        <w:jc w:val="center"/>
        <w:rPr>
          <w:rFonts w:ascii="Times New Roman" w:hAnsi="Times New Roman" w:eastAsia="方正小标宋_GBK" w:cs="Times New Roman"/>
          <w:sz w:val="44"/>
          <w:szCs w:val="44"/>
          <w:lang w:eastAsia="zh-CN"/>
        </w:rPr>
      </w:pPr>
      <w:r>
        <w:rPr>
          <w:rFonts w:ascii="Times New Roman" w:hAnsi="Times New Roman" w:eastAsia="方正小标宋_GBK" w:cs="Times New Roman"/>
          <w:sz w:val="44"/>
          <w:szCs w:val="44"/>
          <w:lang w:eastAsia="zh-CN"/>
        </w:rPr>
        <w:t>江苏省政府专项债券项目绩效自评价报告</w:t>
      </w:r>
    </w:p>
    <w:p w14:paraId="2DBF8B2A">
      <w:pPr>
        <w:spacing w:line="574" w:lineRule="exact"/>
        <w:jc w:val="both"/>
        <w:rPr>
          <w:rFonts w:ascii="Times New Roman" w:hAnsi="Times New Roman" w:eastAsia="方正楷体_GBK" w:cs="Times New Roman"/>
          <w:sz w:val="30"/>
          <w:szCs w:val="30"/>
          <w:lang w:eastAsia="zh-CN"/>
        </w:rPr>
      </w:pPr>
    </w:p>
    <w:p w14:paraId="34ADCBA9">
      <w:pPr>
        <w:spacing w:line="574" w:lineRule="exact"/>
        <w:ind w:firstLine="592"/>
        <w:jc w:val="both"/>
        <w:rPr>
          <w:rFonts w:ascii="Times New Roman" w:hAnsi="Times New Roman" w:eastAsia="黑体" w:cs="Times New Roman"/>
          <w:sz w:val="30"/>
          <w:szCs w:val="30"/>
          <w:lang w:eastAsia="zh-CN"/>
        </w:rPr>
      </w:pPr>
      <w:r>
        <w:rPr>
          <w:rFonts w:ascii="Times New Roman" w:hAnsi="Times New Roman" w:eastAsia="黑体" w:cs="Times New Roman"/>
          <w:sz w:val="30"/>
          <w:szCs w:val="30"/>
          <w:lang w:eastAsia="zh-CN"/>
        </w:rPr>
        <w:t>一、项目情况</w:t>
      </w:r>
    </w:p>
    <w:p w14:paraId="532E2EA0">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1.项目立项背景和目的</w:t>
      </w:r>
    </w:p>
    <w:p w14:paraId="17B816C6">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自古以来苏州就有“上有天堂、下有苏杭”的美誉，但高等教育资源则一直比较缺乏，与悠久的历史人文形成较大的反差。苏州名城建设要依托名校，名校发展也离不开名城，名城名校融合发展，为进一步推动名城名校融合发展战略的深入实施，2019年3月16日，苏州市人民政府与南京大学全面战略合作暨南京大学苏州校区建设协议在南京签约。建设南京大学苏州校区是苏州抢抓长江经济带建设、长三角区域一体化发展等国家战略多重叠加的历史机遇。</w:t>
      </w:r>
    </w:p>
    <w:p w14:paraId="47995EF0">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该项目系根据《关于苏州高新区（虎丘区）城市建设管理服务中心南京大学苏州校区（西区）项目建议书的批复》（苏虎行审投项〔2020〕266号）、《关于同意苏州高新区（虎丘区）城市建设管理服务中心南京大学苏州校区（西区）项目建议书变更的通知》（苏虎行审投项〔2021〕121号）、《关于同意苏州高新区（虎丘区）城市建设管理服务中心南京大学苏州校区（西区）项目建议书变更的通知》（苏虎行审投项〔2021〕194 号）、《关于苏州高新区（虎丘区）城市建设管理服务中心苏州太湖科学城南大教育园区项目可行性研究报告的批复》（苏虎行审投项〔2022〕17号）批复立项。</w:t>
      </w:r>
    </w:p>
    <w:p w14:paraId="48ED16E7">
      <w:pPr>
        <w:spacing w:line="574" w:lineRule="exact"/>
        <w:ind w:firstLine="592"/>
        <w:jc w:val="both"/>
        <w:rPr>
          <w:rFonts w:ascii="Times New Roman" w:hAnsi="Times New Roman" w:eastAsia="方正仿宋_GBK" w:cs="Times New Roman"/>
          <w:sz w:val="30"/>
          <w:szCs w:val="30"/>
          <w:lang w:eastAsia="zh-CN"/>
        </w:rPr>
      </w:pPr>
      <w:r>
        <w:rPr>
          <w:rFonts w:ascii="Times New Roman" w:hAnsi="Times New Roman" w:eastAsia="方正仿宋_GBK" w:cs="Times New Roman"/>
          <w:sz w:val="30"/>
          <w:szCs w:val="30"/>
          <w:lang w:eastAsia="zh-CN"/>
        </w:rPr>
        <w:t>2.建设主要内容</w:t>
      </w:r>
    </w:p>
    <w:p w14:paraId="0F647DB0">
      <w:pPr>
        <w:spacing w:line="574" w:lineRule="exact"/>
        <w:ind w:firstLine="592"/>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苏州太湖科学城南大教育园区项目选址在高新区太湖科学城太湖大道以北、昆仑山路以南、长巷路东，总占地面积约796亩，总建筑面积约71万平方米，计划建设期4年。建设内容主要包括：文体中心、科技信息中心、科研综合体、学生生活综合体、运营服务综合体、行政管理综合楼、公共教学楼、风雨连廊、110千伏变电站及门卫房等。</w:t>
      </w:r>
    </w:p>
    <w:p w14:paraId="6BDA7786">
      <w:pPr>
        <w:spacing w:line="574" w:lineRule="exact"/>
        <w:ind w:firstLine="600" w:firstLineChars="200"/>
        <w:jc w:val="both"/>
        <w:rPr>
          <w:rFonts w:ascii="Times New Roman" w:hAnsi="Times New Roman" w:eastAsia="方正仿宋_GBK" w:cs="Times New Roman"/>
          <w:sz w:val="30"/>
          <w:szCs w:val="30"/>
          <w:lang w:eastAsia="zh-CN"/>
        </w:rPr>
      </w:pPr>
      <w:r>
        <w:rPr>
          <w:rFonts w:ascii="Times New Roman" w:hAnsi="Times New Roman" w:eastAsia="方正仿宋_GBK" w:cs="Times New Roman"/>
          <w:sz w:val="30"/>
          <w:szCs w:val="30"/>
          <w:lang w:eastAsia="zh-CN"/>
        </w:rPr>
        <w:t>3.建设实施方式</w:t>
      </w:r>
    </w:p>
    <w:p w14:paraId="0088FCD1">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西区项目投资主体为苏州高新区（虎丘区）城市建设管理服务中心，苏高新教育产业（苏州）有限公司全过程代建此项目。项目计划于2022年3月开工建设，</w:t>
      </w:r>
      <w:bookmarkStart w:id="2" w:name="_GoBack"/>
      <w:bookmarkEnd w:id="2"/>
      <w:r>
        <w:rPr>
          <w:rFonts w:ascii="Times New Roman" w:hAnsi="Times New Roman" w:eastAsia="仿宋_GB2312" w:cs="Times New Roman"/>
          <w:spacing w:val="-4"/>
          <w:sz w:val="30"/>
          <w:szCs w:val="30"/>
          <w:lang w:eastAsia="zh-CN"/>
        </w:rPr>
        <w:t>2025年12月</w:t>
      </w:r>
      <w:r>
        <w:rPr>
          <w:rFonts w:hint="eastAsia" w:ascii="Times New Roman" w:hAnsi="Times New Roman" w:eastAsia="仿宋_GB2312" w:cs="Times New Roman"/>
          <w:spacing w:val="-4"/>
          <w:sz w:val="30"/>
          <w:szCs w:val="30"/>
          <w:lang w:val="en-US" w:eastAsia="zh-CN"/>
        </w:rPr>
        <w:t>完工</w:t>
      </w:r>
      <w:r>
        <w:rPr>
          <w:rFonts w:ascii="Times New Roman" w:hAnsi="Times New Roman" w:eastAsia="仿宋_GB2312" w:cs="Times New Roman"/>
          <w:spacing w:val="-4"/>
          <w:sz w:val="30"/>
          <w:szCs w:val="30"/>
          <w:lang w:eastAsia="zh-CN"/>
        </w:rPr>
        <w:t>。</w:t>
      </w:r>
    </w:p>
    <w:p w14:paraId="1507675E">
      <w:pPr>
        <w:spacing w:line="574" w:lineRule="exact"/>
        <w:ind w:firstLine="600" w:firstLineChars="200"/>
        <w:jc w:val="both"/>
        <w:rPr>
          <w:rFonts w:ascii="Times New Roman" w:hAnsi="Times New Roman" w:eastAsia="方正仿宋_GBK" w:cs="Times New Roman"/>
          <w:sz w:val="30"/>
          <w:szCs w:val="30"/>
          <w:lang w:eastAsia="zh-CN"/>
        </w:rPr>
      </w:pPr>
      <w:r>
        <w:rPr>
          <w:rFonts w:ascii="Times New Roman" w:hAnsi="Times New Roman" w:eastAsia="方正仿宋_GBK" w:cs="Times New Roman"/>
          <w:sz w:val="30"/>
          <w:szCs w:val="30"/>
          <w:lang w:eastAsia="zh-CN"/>
        </w:rPr>
        <w:t>4.建设资金投入</w:t>
      </w:r>
    </w:p>
    <w:p w14:paraId="1EBC60B7">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项目计划总投资700</w:t>
      </w:r>
      <w:r>
        <w:rPr>
          <w:rFonts w:hint="eastAsia" w:ascii="Times New Roman" w:hAnsi="Times New Roman" w:eastAsia="仿宋_GB2312" w:cs="Times New Roman"/>
          <w:spacing w:val="-4"/>
          <w:sz w:val="30"/>
          <w:szCs w:val="30"/>
          <w:lang w:eastAsia="zh-CN"/>
        </w:rPr>
        <w:t>,</w:t>
      </w:r>
      <w:r>
        <w:rPr>
          <w:rFonts w:ascii="Times New Roman" w:hAnsi="Times New Roman" w:eastAsia="仿宋_GB2312" w:cs="Times New Roman"/>
          <w:spacing w:val="-4"/>
          <w:sz w:val="30"/>
          <w:szCs w:val="30"/>
          <w:lang w:eastAsia="zh-CN"/>
        </w:rPr>
        <w:t>000万元，其中：政府预算资金安排153</w:t>
      </w:r>
      <w:r>
        <w:rPr>
          <w:rFonts w:hint="eastAsia" w:ascii="Times New Roman" w:hAnsi="Times New Roman" w:eastAsia="仿宋_GB2312" w:cs="Times New Roman"/>
          <w:spacing w:val="-4"/>
          <w:sz w:val="30"/>
          <w:szCs w:val="30"/>
          <w:lang w:eastAsia="zh-CN"/>
        </w:rPr>
        <w:t>,</w:t>
      </w:r>
      <w:r>
        <w:rPr>
          <w:rFonts w:ascii="Times New Roman" w:hAnsi="Times New Roman" w:eastAsia="仿宋_GB2312" w:cs="Times New Roman"/>
          <w:spacing w:val="-4"/>
          <w:sz w:val="30"/>
          <w:szCs w:val="30"/>
          <w:lang w:eastAsia="zh-CN"/>
        </w:rPr>
        <w:t>000万元，政府专项债券资金安排547</w:t>
      </w:r>
      <w:r>
        <w:rPr>
          <w:rFonts w:hint="eastAsia" w:ascii="Times New Roman" w:hAnsi="Times New Roman" w:eastAsia="仿宋_GB2312" w:cs="Times New Roman"/>
          <w:spacing w:val="-4"/>
          <w:sz w:val="30"/>
          <w:szCs w:val="30"/>
          <w:lang w:eastAsia="zh-CN"/>
        </w:rPr>
        <w:t>,</w:t>
      </w:r>
      <w:r>
        <w:rPr>
          <w:rFonts w:ascii="Times New Roman" w:hAnsi="Times New Roman" w:eastAsia="仿宋_GB2312" w:cs="Times New Roman"/>
          <w:spacing w:val="-4"/>
          <w:sz w:val="30"/>
          <w:szCs w:val="30"/>
          <w:lang w:eastAsia="zh-CN"/>
        </w:rPr>
        <w:t>000万元。</w:t>
      </w:r>
    </w:p>
    <w:p w14:paraId="6C8444F0">
      <w:pPr>
        <w:spacing w:line="574" w:lineRule="exact"/>
        <w:ind w:firstLine="600" w:firstLineChars="200"/>
        <w:jc w:val="both"/>
        <w:rPr>
          <w:rFonts w:ascii="Times New Roman" w:hAnsi="Times New Roman" w:eastAsia="方正仿宋_GBK" w:cs="Times New Roman"/>
          <w:sz w:val="30"/>
          <w:szCs w:val="30"/>
          <w:lang w:eastAsia="zh-CN"/>
        </w:rPr>
      </w:pPr>
      <w:r>
        <w:rPr>
          <w:rFonts w:ascii="Times New Roman" w:hAnsi="Times New Roman" w:eastAsia="方正仿宋_GBK" w:cs="Times New Roman"/>
          <w:sz w:val="30"/>
          <w:szCs w:val="30"/>
          <w:lang w:eastAsia="zh-CN"/>
        </w:rPr>
        <w:t>5.专项债资金使用情况</w:t>
      </w:r>
    </w:p>
    <w:p w14:paraId="1C25B1F9">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苏州太湖科学城南大教育园区项目主管单位为苏州国家高新技术产业开发区住房和建设局，项目建设单位为苏州高新区（虎丘区）城市建设管理服务中心。截至2025年底，专项债券累计已发行54.7亿元。</w:t>
      </w:r>
    </w:p>
    <w:p w14:paraId="3D879C62">
      <w:pPr>
        <w:spacing w:line="574" w:lineRule="exact"/>
        <w:ind w:firstLine="584" w:firstLineChars="200"/>
        <w:jc w:val="both"/>
        <w:rPr>
          <w:rFonts w:ascii="Times New Roman" w:hAnsi="Times New Roman" w:eastAsia="仿宋_GB2312" w:cs="Times New Roman"/>
          <w:spacing w:val="-4"/>
          <w:sz w:val="30"/>
          <w:szCs w:val="30"/>
          <w:lang w:eastAsia="zh-CN"/>
        </w:rPr>
      </w:pPr>
    </w:p>
    <w:p w14:paraId="41820B86">
      <w:pPr>
        <w:spacing w:line="574" w:lineRule="exact"/>
        <w:ind w:firstLine="584" w:firstLineChars="200"/>
        <w:jc w:val="both"/>
        <w:rPr>
          <w:rFonts w:ascii="Times New Roman" w:hAnsi="Times New Roman" w:eastAsia="仿宋_GB2312" w:cs="Times New Roman"/>
          <w:spacing w:val="-4"/>
          <w:sz w:val="30"/>
          <w:szCs w:val="30"/>
          <w:lang w:eastAsia="zh-CN"/>
        </w:rPr>
      </w:pPr>
    </w:p>
    <w:tbl>
      <w:tblPr>
        <w:tblStyle w:val="7"/>
        <w:tblW w:w="9178" w:type="dxa"/>
        <w:tblInd w:w="98" w:type="dxa"/>
        <w:tblLayout w:type="fixed"/>
        <w:tblCellMar>
          <w:top w:w="0" w:type="dxa"/>
          <w:left w:w="108" w:type="dxa"/>
          <w:bottom w:w="0" w:type="dxa"/>
          <w:right w:w="108" w:type="dxa"/>
        </w:tblCellMar>
      </w:tblPr>
      <w:tblGrid>
        <w:gridCol w:w="1488"/>
        <w:gridCol w:w="3553"/>
        <w:gridCol w:w="1615"/>
        <w:gridCol w:w="1408"/>
        <w:gridCol w:w="1114"/>
      </w:tblGrid>
      <w:tr w14:paraId="3B1B19E9">
        <w:tblPrEx>
          <w:tblCellMar>
            <w:top w:w="0" w:type="dxa"/>
            <w:left w:w="108" w:type="dxa"/>
            <w:bottom w:w="0" w:type="dxa"/>
            <w:right w:w="108" w:type="dxa"/>
          </w:tblCellMar>
        </w:tblPrEx>
        <w:trPr>
          <w:trHeight w:val="288" w:hRule="atLeast"/>
        </w:trPr>
        <w:tc>
          <w:tcPr>
            <w:tcW w:w="1488"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1C47078A">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发行年份</w:t>
            </w:r>
          </w:p>
        </w:tc>
        <w:tc>
          <w:tcPr>
            <w:tcW w:w="3553" w:type="dxa"/>
            <w:tcBorders>
              <w:top w:val="single" w:color="000000" w:sz="4" w:space="0"/>
              <w:left w:val="single" w:color="000000" w:sz="4" w:space="0"/>
              <w:bottom w:val="single" w:color="000000" w:sz="4" w:space="0"/>
              <w:right w:val="single" w:color="000000" w:sz="4" w:space="0"/>
            </w:tcBorders>
            <w:shd w:val="clear" w:color="auto" w:fill="E6E0EC"/>
            <w:vAlign w:val="center"/>
          </w:tcPr>
          <w:p w14:paraId="6BF8F4B3">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债券名称</w:t>
            </w:r>
          </w:p>
        </w:tc>
        <w:tc>
          <w:tcPr>
            <w:tcW w:w="1615"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48D06060">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发行金额</w:t>
            </w:r>
          </w:p>
        </w:tc>
        <w:tc>
          <w:tcPr>
            <w:tcW w:w="1408"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7D0E2B8C">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期限</w:t>
            </w:r>
          </w:p>
        </w:tc>
        <w:tc>
          <w:tcPr>
            <w:tcW w:w="1114"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23A9908C">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利率</w:t>
            </w:r>
          </w:p>
        </w:tc>
      </w:tr>
      <w:tr w14:paraId="78A0D75A">
        <w:tblPrEx>
          <w:tblCellMar>
            <w:top w:w="0" w:type="dxa"/>
            <w:left w:w="108" w:type="dxa"/>
            <w:bottom w:w="0" w:type="dxa"/>
            <w:right w:w="108" w:type="dxa"/>
          </w:tblCellMar>
        </w:tblPrEx>
        <w:trPr>
          <w:trHeight w:val="568" w:hRule="atLeast"/>
        </w:trPr>
        <w:tc>
          <w:tcPr>
            <w:tcW w:w="1488" w:type="dxa"/>
            <w:tcBorders>
              <w:top w:val="single" w:color="000000" w:sz="4" w:space="0"/>
              <w:left w:val="single" w:color="000000" w:sz="4" w:space="0"/>
              <w:bottom w:val="single" w:color="000000" w:sz="4" w:space="0"/>
              <w:right w:val="single" w:color="000000" w:sz="4" w:space="0"/>
            </w:tcBorders>
            <w:noWrap/>
            <w:vAlign w:val="center"/>
          </w:tcPr>
          <w:p w14:paraId="19BDCB53">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2022年</w:t>
            </w:r>
          </w:p>
        </w:tc>
        <w:tc>
          <w:tcPr>
            <w:tcW w:w="3553" w:type="dxa"/>
            <w:tcBorders>
              <w:top w:val="single" w:color="000000" w:sz="4" w:space="0"/>
              <w:left w:val="single" w:color="000000" w:sz="4" w:space="0"/>
              <w:bottom w:val="single" w:color="000000" w:sz="4" w:space="0"/>
              <w:right w:val="single" w:color="000000" w:sz="4" w:space="0"/>
            </w:tcBorders>
            <w:vAlign w:val="center"/>
          </w:tcPr>
          <w:p w14:paraId="212DF42A">
            <w:pPr>
              <w:widowControl/>
              <w:jc w:val="center"/>
              <w:textAlignment w:val="center"/>
              <w:rPr>
                <w:rFonts w:ascii="Times New Roman" w:hAnsi="Times New Roman" w:eastAsia="仿宋" w:cs="Times New Roman"/>
                <w:sz w:val="28"/>
                <w:szCs w:val="28"/>
                <w:lang w:eastAsia="zh-CN"/>
              </w:rPr>
            </w:pPr>
            <w:r>
              <w:rPr>
                <w:rFonts w:ascii="Times New Roman" w:hAnsi="Times New Roman" w:eastAsia="仿宋" w:cs="Times New Roman"/>
                <w:sz w:val="28"/>
                <w:szCs w:val="28"/>
                <w:lang w:eastAsia="zh-CN" w:bidi="ar"/>
              </w:rPr>
              <w:t>2022年江苏省政府专项债券（八期至十三期）</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7AFCADE5">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5亿</w:t>
            </w:r>
          </w:p>
        </w:tc>
        <w:tc>
          <w:tcPr>
            <w:tcW w:w="1408" w:type="dxa"/>
            <w:tcBorders>
              <w:top w:val="single" w:color="000000" w:sz="4" w:space="0"/>
              <w:left w:val="single" w:color="000000" w:sz="4" w:space="0"/>
              <w:bottom w:val="single" w:color="000000" w:sz="4" w:space="0"/>
              <w:right w:val="single" w:color="000000" w:sz="4" w:space="0"/>
            </w:tcBorders>
            <w:noWrap/>
            <w:vAlign w:val="center"/>
          </w:tcPr>
          <w:p w14:paraId="4AA824B3">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15年</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F94C045">
            <w:pPr>
              <w:widowControl/>
              <w:jc w:val="right"/>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3.18%</w:t>
            </w:r>
          </w:p>
        </w:tc>
      </w:tr>
      <w:tr w14:paraId="53CED179">
        <w:tblPrEx>
          <w:tblCellMar>
            <w:top w:w="0" w:type="dxa"/>
            <w:left w:w="108" w:type="dxa"/>
            <w:bottom w:w="0" w:type="dxa"/>
            <w:right w:w="108" w:type="dxa"/>
          </w:tblCellMar>
        </w:tblPrEx>
        <w:trPr>
          <w:trHeight w:val="576" w:hRule="atLeast"/>
        </w:trPr>
        <w:tc>
          <w:tcPr>
            <w:tcW w:w="1488" w:type="dxa"/>
            <w:tcBorders>
              <w:top w:val="single" w:color="000000" w:sz="4" w:space="0"/>
              <w:left w:val="single" w:color="000000" w:sz="4" w:space="0"/>
              <w:bottom w:val="single" w:color="000000" w:sz="4" w:space="0"/>
              <w:right w:val="single" w:color="000000" w:sz="4" w:space="0"/>
            </w:tcBorders>
            <w:noWrap/>
            <w:vAlign w:val="center"/>
          </w:tcPr>
          <w:p w14:paraId="4D72920D">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2023年</w:t>
            </w:r>
          </w:p>
        </w:tc>
        <w:tc>
          <w:tcPr>
            <w:tcW w:w="3553" w:type="dxa"/>
            <w:tcBorders>
              <w:top w:val="single" w:color="000000" w:sz="4" w:space="0"/>
              <w:left w:val="single" w:color="000000" w:sz="4" w:space="0"/>
              <w:bottom w:val="single" w:color="000000" w:sz="4" w:space="0"/>
              <w:right w:val="single" w:color="000000" w:sz="4" w:space="0"/>
            </w:tcBorders>
            <w:vAlign w:val="center"/>
          </w:tcPr>
          <w:p w14:paraId="3F59EE64">
            <w:pPr>
              <w:widowControl/>
              <w:jc w:val="center"/>
              <w:textAlignment w:val="center"/>
              <w:rPr>
                <w:rFonts w:ascii="Times New Roman" w:hAnsi="Times New Roman" w:eastAsia="仿宋" w:cs="Times New Roman"/>
                <w:sz w:val="28"/>
                <w:szCs w:val="28"/>
                <w:lang w:eastAsia="zh-CN"/>
              </w:rPr>
            </w:pPr>
            <w:r>
              <w:rPr>
                <w:rFonts w:ascii="Times New Roman" w:hAnsi="Times New Roman" w:eastAsia="仿宋" w:cs="Times New Roman"/>
                <w:sz w:val="28"/>
                <w:szCs w:val="28"/>
                <w:lang w:eastAsia="zh-CN" w:bidi="ar"/>
              </w:rPr>
              <w:t>2023年江苏省政府专项债券（九期至十四期）</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781B3ADB">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16亿</w:t>
            </w:r>
          </w:p>
        </w:tc>
        <w:tc>
          <w:tcPr>
            <w:tcW w:w="1408" w:type="dxa"/>
            <w:tcBorders>
              <w:top w:val="single" w:color="000000" w:sz="4" w:space="0"/>
              <w:left w:val="single" w:color="000000" w:sz="4" w:space="0"/>
              <w:bottom w:val="single" w:color="000000" w:sz="4" w:space="0"/>
              <w:right w:val="single" w:color="000000" w:sz="4" w:space="0"/>
            </w:tcBorders>
            <w:noWrap/>
            <w:vAlign w:val="center"/>
          </w:tcPr>
          <w:p w14:paraId="47ADDD2B">
            <w:pPr>
              <w:widowControl/>
              <w:jc w:val="center"/>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30年</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40A8CF7">
            <w:pPr>
              <w:widowControl/>
              <w:jc w:val="right"/>
              <w:textAlignment w:val="center"/>
              <w:rPr>
                <w:rFonts w:ascii="Times New Roman" w:hAnsi="Times New Roman" w:eastAsia="仿宋" w:cs="Times New Roman"/>
                <w:sz w:val="28"/>
                <w:szCs w:val="28"/>
              </w:rPr>
            </w:pPr>
            <w:r>
              <w:rPr>
                <w:rFonts w:ascii="Times New Roman" w:hAnsi="Times New Roman" w:eastAsia="仿宋" w:cs="Times New Roman"/>
                <w:sz w:val="28"/>
                <w:szCs w:val="28"/>
                <w:lang w:eastAsia="zh-CN" w:bidi="ar"/>
              </w:rPr>
              <w:t>3.02%</w:t>
            </w:r>
          </w:p>
        </w:tc>
      </w:tr>
      <w:tr w14:paraId="5FC5A2AA">
        <w:tblPrEx>
          <w:tblCellMar>
            <w:top w:w="0" w:type="dxa"/>
            <w:left w:w="108" w:type="dxa"/>
            <w:bottom w:w="0" w:type="dxa"/>
            <w:right w:w="108" w:type="dxa"/>
          </w:tblCellMar>
        </w:tblPrEx>
        <w:trPr>
          <w:trHeight w:val="576" w:hRule="atLeast"/>
        </w:trPr>
        <w:tc>
          <w:tcPr>
            <w:tcW w:w="1488" w:type="dxa"/>
            <w:tcBorders>
              <w:top w:val="single" w:color="000000" w:sz="4" w:space="0"/>
              <w:left w:val="single" w:color="000000" w:sz="4" w:space="0"/>
              <w:bottom w:val="single" w:color="000000" w:sz="4" w:space="0"/>
              <w:right w:val="single" w:color="000000" w:sz="4" w:space="0"/>
            </w:tcBorders>
            <w:noWrap/>
            <w:vAlign w:val="center"/>
          </w:tcPr>
          <w:p w14:paraId="4046DE75">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2024年</w:t>
            </w:r>
          </w:p>
        </w:tc>
        <w:tc>
          <w:tcPr>
            <w:tcW w:w="3553" w:type="dxa"/>
            <w:tcBorders>
              <w:top w:val="single" w:color="000000" w:sz="4" w:space="0"/>
              <w:left w:val="single" w:color="000000" w:sz="4" w:space="0"/>
              <w:bottom w:val="single" w:color="000000" w:sz="4" w:space="0"/>
              <w:right w:val="single" w:color="000000" w:sz="4" w:space="0"/>
            </w:tcBorders>
            <w:vAlign w:val="center"/>
          </w:tcPr>
          <w:p w14:paraId="79D0FDA0">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2024年江苏省专项债券二期</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619EDC22">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3.1亿</w:t>
            </w:r>
          </w:p>
        </w:tc>
        <w:tc>
          <w:tcPr>
            <w:tcW w:w="1408" w:type="dxa"/>
            <w:tcBorders>
              <w:top w:val="single" w:color="000000" w:sz="4" w:space="0"/>
              <w:left w:val="single" w:color="000000" w:sz="4" w:space="0"/>
              <w:bottom w:val="single" w:color="000000" w:sz="4" w:space="0"/>
              <w:right w:val="single" w:color="000000" w:sz="4" w:space="0"/>
            </w:tcBorders>
            <w:noWrap/>
            <w:vAlign w:val="center"/>
          </w:tcPr>
          <w:p w14:paraId="266FEBAE">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10年</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2EB13832">
            <w:pPr>
              <w:widowControl/>
              <w:jc w:val="right"/>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2.38%</w:t>
            </w:r>
          </w:p>
        </w:tc>
      </w:tr>
      <w:tr w14:paraId="4D3C4CB8">
        <w:tblPrEx>
          <w:tblCellMar>
            <w:top w:w="0" w:type="dxa"/>
            <w:left w:w="108" w:type="dxa"/>
            <w:bottom w:w="0" w:type="dxa"/>
            <w:right w:w="108" w:type="dxa"/>
          </w:tblCellMar>
        </w:tblPrEx>
        <w:trPr>
          <w:trHeight w:val="576" w:hRule="atLeast"/>
        </w:trPr>
        <w:tc>
          <w:tcPr>
            <w:tcW w:w="1488" w:type="dxa"/>
            <w:tcBorders>
              <w:top w:val="single" w:color="000000" w:sz="4" w:space="0"/>
              <w:left w:val="single" w:color="000000" w:sz="4" w:space="0"/>
              <w:bottom w:val="single" w:color="000000" w:sz="4" w:space="0"/>
              <w:right w:val="single" w:color="000000" w:sz="4" w:space="0"/>
            </w:tcBorders>
            <w:noWrap/>
            <w:vAlign w:val="center"/>
          </w:tcPr>
          <w:p w14:paraId="3BFE3F0E">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2024年</w:t>
            </w:r>
          </w:p>
        </w:tc>
        <w:tc>
          <w:tcPr>
            <w:tcW w:w="3553" w:type="dxa"/>
            <w:tcBorders>
              <w:top w:val="single" w:color="000000" w:sz="4" w:space="0"/>
              <w:left w:val="single" w:color="000000" w:sz="4" w:space="0"/>
              <w:bottom w:val="single" w:color="000000" w:sz="4" w:space="0"/>
              <w:right w:val="single" w:color="000000" w:sz="4" w:space="0"/>
            </w:tcBorders>
            <w:vAlign w:val="center"/>
          </w:tcPr>
          <w:p w14:paraId="23C5DA1F">
            <w:pPr>
              <w:widowControl/>
              <w:jc w:val="center"/>
              <w:textAlignment w:val="center"/>
              <w:rPr>
                <w:rFonts w:ascii="Times New Roman" w:hAnsi="Times New Roman" w:eastAsia="仿宋" w:cs="Times New Roman"/>
                <w:sz w:val="28"/>
                <w:szCs w:val="28"/>
                <w:lang w:eastAsia="zh-CN" w:bidi="ar"/>
              </w:rPr>
            </w:pPr>
            <w:bookmarkStart w:id="0" w:name="OLE_LINK2"/>
            <w:r>
              <w:rPr>
                <w:rFonts w:ascii="Times New Roman" w:hAnsi="Times New Roman" w:eastAsia="仿宋" w:cs="Times New Roman"/>
                <w:sz w:val="28"/>
                <w:szCs w:val="28"/>
                <w:lang w:eastAsia="zh-CN" w:bidi="ar"/>
              </w:rPr>
              <w:t>2024年江苏省专项债券十六期</w:t>
            </w:r>
            <w:bookmarkEnd w:id="0"/>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784DAF86">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10.9亿</w:t>
            </w:r>
          </w:p>
        </w:tc>
        <w:tc>
          <w:tcPr>
            <w:tcW w:w="1408" w:type="dxa"/>
            <w:tcBorders>
              <w:top w:val="single" w:color="000000" w:sz="4" w:space="0"/>
              <w:left w:val="single" w:color="000000" w:sz="4" w:space="0"/>
              <w:bottom w:val="single" w:color="000000" w:sz="4" w:space="0"/>
              <w:right w:val="single" w:color="000000" w:sz="4" w:space="0"/>
            </w:tcBorders>
            <w:noWrap/>
            <w:vAlign w:val="center"/>
          </w:tcPr>
          <w:p w14:paraId="5753A6D5">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30年</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F341CA9">
            <w:pPr>
              <w:widowControl/>
              <w:jc w:val="right"/>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2.21%</w:t>
            </w:r>
          </w:p>
        </w:tc>
      </w:tr>
      <w:tr w14:paraId="2E81A877">
        <w:tblPrEx>
          <w:tblCellMar>
            <w:top w:w="0" w:type="dxa"/>
            <w:left w:w="108" w:type="dxa"/>
            <w:bottom w:w="0" w:type="dxa"/>
            <w:right w:w="108" w:type="dxa"/>
          </w:tblCellMar>
        </w:tblPrEx>
        <w:trPr>
          <w:trHeight w:val="576" w:hRule="atLeast"/>
        </w:trPr>
        <w:tc>
          <w:tcPr>
            <w:tcW w:w="1488" w:type="dxa"/>
            <w:tcBorders>
              <w:top w:val="single" w:color="000000" w:sz="4" w:space="0"/>
              <w:left w:val="single" w:color="000000" w:sz="4" w:space="0"/>
              <w:bottom w:val="single" w:color="000000" w:sz="4" w:space="0"/>
              <w:right w:val="single" w:color="000000" w:sz="4" w:space="0"/>
            </w:tcBorders>
            <w:noWrap/>
            <w:vAlign w:val="center"/>
          </w:tcPr>
          <w:p w14:paraId="42A2B424">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2025年</w:t>
            </w:r>
          </w:p>
        </w:tc>
        <w:tc>
          <w:tcPr>
            <w:tcW w:w="3553" w:type="dxa"/>
            <w:tcBorders>
              <w:top w:val="single" w:color="000000" w:sz="4" w:space="0"/>
              <w:left w:val="single" w:color="000000" w:sz="4" w:space="0"/>
              <w:bottom w:val="single" w:color="000000" w:sz="4" w:space="0"/>
              <w:right w:val="single" w:color="000000" w:sz="4" w:space="0"/>
            </w:tcBorders>
            <w:vAlign w:val="center"/>
          </w:tcPr>
          <w:p w14:paraId="76E59DD2">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2025年江苏省政府专项债券（二至八期）</w:t>
            </w:r>
          </w:p>
        </w:tc>
        <w:tc>
          <w:tcPr>
            <w:tcW w:w="1615" w:type="dxa"/>
            <w:tcBorders>
              <w:top w:val="single" w:color="000000" w:sz="4" w:space="0"/>
              <w:left w:val="single" w:color="000000" w:sz="4" w:space="0"/>
              <w:bottom w:val="single" w:color="000000" w:sz="4" w:space="0"/>
              <w:right w:val="single" w:color="000000" w:sz="4" w:space="0"/>
            </w:tcBorders>
            <w:noWrap/>
            <w:vAlign w:val="center"/>
          </w:tcPr>
          <w:p w14:paraId="61E46BD6">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19.70亿</w:t>
            </w:r>
          </w:p>
        </w:tc>
        <w:tc>
          <w:tcPr>
            <w:tcW w:w="1408" w:type="dxa"/>
            <w:tcBorders>
              <w:top w:val="single" w:color="000000" w:sz="4" w:space="0"/>
              <w:left w:val="single" w:color="000000" w:sz="4" w:space="0"/>
              <w:bottom w:val="single" w:color="000000" w:sz="4" w:space="0"/>
              <w:right w:val="single" w:color="000000" w:sz="4" w:space="0"/>
            </w:tcBorders>
            <w:noWrap/>
            <w:vAlign w:val="center"/>
          </w:tcPr>
          <w:p w14:paraId="1309D5D3">
            <w:pPr>
              <w:widowControl/>
              <w:jc w:val="center"/>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30年</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B5CB466">
            <w:pPr>
              <w:widowControl/>
              <w:jc w:val="right"/>
              <w:textAlignment w:val="center"/>
              <w:rPr>
                <w:rFonts w:ascii="Times New Roman" w:hAnsi="Times New Roman" w:eastAsia="仿宋" w:cs="Times New Roman"/>
                <w:sz w:val="28"/>
                <w:szCs w:val="28"/>
                <w:lang w:eastAsia="zh-CN" w:bidi="ar"/>
              </w:rPr>
            </w:pPr>
            <w:r>
              <w:rPr>
                <w:rFonts w:ascii="Times New Roman" w:hAnsi="Times New Roman" w:eastAsia="仿宋" w:cs="Times New Roman"/>
                <w:sz w:val="28"/>
                <w:szCs w:val="28"/>
                <w:lang w:eastAsia="zh-CN" w:bidi="ar"/>
              </w:rPr>
              <w:t>2.07%</w:t>
            </w:r>
          </w:p>
        </w:tc>
      </w:tr>
    </w:tbl>
    <w:p w14:paraId="3163788B">
      <w:pPr>
        <w:spacing w:line="574" w:lineRule="exact"/>
        <w:ind w:firstLine="600"/>
        <w:jc w:val="both"/>
        <w:rPr>
          <w:rFonts w:ascii="Times New Roman" w:hAnsi="Times New Roman" w:eastAsia="方正仿宋_GBK" w:cs="Times New Roman"/>
          <w:sz w:val="30"/>
          <w:szCs w:val="30"/>
          <w:lang w:eastAsia="zh-CN"/>
        </w:rPr>
      </w:pPr>
      <w:r>
        <w:rPr>
          <w:rFonts w:ascii="Times New Roman" w:hAnsi="Times New Roman" w:eastAsia="方正仿宋_GBK" w:cs="Times New Roman"/>
          <w:sz w:val="30"/>
          <w:szCs w:val="30"/>
          <w:lang w:eastAsia="zh-CN"/>
        </w:rPr>
        <w:t>6.项目目标</w:t>
      </w:r>
    </w:p>
    <w:p w14:paraId="016AF7F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2025年12月完成苏州太湖科学城南大教育园区项目完工目标。</w:t>
      </w:r>
    </w:p>
    <w:p w14:paraId="661DDB2A">
      <w:pPr>
        <w:spacing w:line="574" w:lineRule="exact"/>
        <w:ind w:firstLine="592"/>
        <w:jc w:val="both"/>
        <w:rPr>
          <w:rFonts w:ascii="Times New Roman" w:hAnsi="Times New Roman" w:eastAsia="黑体" w:cs="Times New Roman"/>
          <w:sz w:val="30"/>
          <w:szCs w:val="30"/>
          <w:lang w:eastAsia="zh-CN"/>
        </w:rPr>
      </w:pPr>
      <w:r>
        <w:rPr>
          <w:rFonts w:ascii="Times New Roman" w:hAnsi="Times New Roman" w:eastAsia="黑体" w:cs="Times New Roman"/>
          <w:sz w:val="30"/>
          <w:szCs w:val="30"/>
          <w:lang w:eastAsia="zh-CN"/>
        </w:rPr>
        <w:t>二、评价情况</w:t>
      </w:r>
    </w:p>
    <w:p w14:paraId="0BA66C89">
      <w:pPr>
        <w:spacing w:line="574" w:lineRule="exact"/>
        <w:ind w:firstLine="6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苏州太湖科学城南大教育园区政府专项债券项目绩效评分为9</w:t>
      </w:r>
      <w:r>
        <w:rPr>
          <w:rFonts w:hint="eastAsia" w:ascii="Times New Roman" w:hAnsi="Times New Roman" w:eastAsia="仿宋_GB2312" w:cs="Times New Roman"/>
          <w:spacing w:val="-4"/>
          <w:sz w:val="30"/>
          <w:szCs w:val="30"/>
          <w:lang w:val="en-US" w:eastAsia="zh-CN"/>
        </w:rPr>
        <w:t>8</w:t>
      </w:r>
      <w:r>
        <w:rPr>
          <w:rFonts w:ascii="Times New Roman" w:hAnsi="Times New Roman" w:eastAsia="仿宋_GB2312" w:cs="Times New Roman"/>
          <w:spacing w:val="-4"/>
          <w:sz w:val="30"/>
          <w:szCs w:val="30"/>
          <w:lang w:eastAsia="zh-CN"/>
        </w:rPr>
        <w:t>分，等级为“优秀”。本次的指标体系由四部分组成，具体结果如下:</w:t>
      </w:r>
    </w:p>
    <w:tbl>
      <w:tblPr>
        <w:tblStyle w:val="7"/>
        <w:tblW w:w="7683" w:type="dxa"/>
        <w:tblInd w:w="789" w:type="dxa"/>
        <w:tblLayout w:type="fixed"/>
        <w:tblCellMar>
          <w:top w:w="0" w:type="dxa"/>
          <w:left w:w="108" w:type="dxa"/>
          <w:bottom w:w="0" w:type="dxa"/>
          <w:right w:w="108" w:type="dxa"/>
        </w:tblCellMar>
      </w:tblPr>
      <w:tblGrid>
        <w:gridCol w:w="2420"/>
        <w:gridCol w:w="2569"/>
        <w:gridCol w:w="2694"/>
      </w:tblGrid>
      <w:tr w14:paraId="0FFCEA1D">
        <w:tblPrEx>
          <w:tblCellMar>
            <w:top w:w="0" w:type="dxa"/>
            <w:left w:w="108" w:type="dxa"/>
            <w:bottom w:w="0" w:type="dxa"/>
            <w:right w:w="108" w:type="dxa"/>
          </w:tblCellMar>
        </w:tblPrEx>
        <w:trPr>
          <w:trHeight w:val="349" w:hRule="atLeast"/>
        </w:trPr>
        <w:tc>
          <w:tcPr>
            <w:tcW w:w="242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0E58C9E">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一级指标</w:t>
            </w:r>
          </w:p>
        </w:tc>
        <w:tc>
          <w:tcPr>
            <w:tcW w:w="2569"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71506465">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权重</w:t>
            </w:r>
          </w:p>
        </w:tc>
        <w:tc>
          <w:tcPr>
            <w:tcW w:w="2694"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4287AD4">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评分</w:t>
            </w:r>
          </w:p>
        </w:tc>
      </w:tr>
      <w:tr w14:paraId="2F143727">
        <w:tblPrEx>
          <w:tblCellMar>
            <w:top w:w="0" w:type="dxa"/>
            <w:left w:w="108" w:type="dxa"/>
            <w:bottom w:w="0" w:type="dxa"/>
            <w:right w:w="108" w:type="dxa"/>
          </w:tblCellMar>
        </w:tblPrEx>
        <w:trPr>
          <w:trHeight w:val="309" w:hRule="atLeast"/>
        </w:trPr>
        <w:tc>
          <w:tcPr>
            <w:tcW w:w="2420" w:type="dxa"/>
            <w:tcBorders>
              <w:top w:val="single" w:color="000000" w:sz="4" w:space="0"/>
              <w:left w:val="single" w:color="000000" w:sz="4" w:space="0"/>
              <w:bottom w:val="single" w:color="000000" w:sz="4" w:space="0"/>
              <w:right w:val="single" w:color="000000" w:sz="4" w:space="0"/>
            </w:tcBorders>
            <w:vAlign w:val="center"/>
          </w:tcPr>
          <w:p w14:paraId="74AE1EDE">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过程</w:t>
            </w:r>
          </w:p>
        </w:tc>
        <w:tc>
          <w:tcPr>
            <w:tcW w:w="2569" w:type="dxa"/>
            <w:tcBorders>
              <w:top w:val="single" w:color="000000" w:sz="4" w:space="0"/>
              <w:left w:val="single" w:color="000000" w:sz="4" w:space="0"/>
              <w:bottom w:val="single" w:color="000000" w:sz="4" w:space="0"/>
              <w:right w:val="single" w:color="000000" w:sz="4" w:space="0"/>
            </w:tcBorders>
            <w:noWrap/>
            <w:vAlign w:val="center"/>
          </w:tcPr>
          <w:p w14:paraId="56E31DAA">
            <w:pPr>
              <w:spacing w:line="574" w:lineRule="exact"/>
              <w:jc w:val="center"/>
              <w:rPr>
                <w:rFonts w:hint="eastAsia" w:ascii="Times New Roman" w:hAnsi="Times New Roman" w:eastAsia="仿宋_GB2312" w:cs="Times New Roman"/>
                <w:spacing w:val="-4"/>
                <w:sz w:val="30"/>
                <w:szCs w:val="30"/>
                <w:lang w:val="en-US" w:eastAsia="zh-CN"/>
              </w:rPr>
            </w:pPr>
            <w:r>
              <w:rPr>
                <w:rFonts w:ascii="Times New Roman" w:hAnsi="Times New Roman" w:eastAsia="仿宋_GB2312" w:cs="Times New Roman"/>
                <w:sz w:val="30"/>
                <w:szCs w:val="30"/>
              </w:rPr>
              <w:t>3</w:t>
            </w:r>
            <w:r>
              <w:rPr>
                <w:rFonts w:hint="eastAsia" w:ascii="Times New Roman" w:hAnsi="Times New Roman" w:eastAsia="仿宋_GB2312" w:cs="Times New Roman"/>
                <w:sz w:val="30"/>
                <w:szCs w:val="30"/>
                <w:lang w:val="en-US" w:eastAsia="zh-CN"/>
              </w:rPr>
              <w:t>0</w:t>
            </w:r>
          </w:p>
        </w:tc>
        <w:tc>
          <w:tcPr>
            <w:tcW w:w="2694" w:type="dxa"/>
            <w:tcBorders>
              <w:top w:val="single" w:color="000000" w:sz="4" w:space="0"/>
              <w:left w:val="single" w:color="000000" w:sz="4" w:space="0"/>
              <w:bottom w:val="single" w:color="000000" w:sz="4" w:space="0"/>
              <w:right w:val="single" w:color="000000" w:sz="4" w:space="0"/>
            </w:tcBorders>
            <w:noWrap/>
            <w:vAlign w:val="center"/>
          </w:tcPr>
          <w:p w14:paraId="61F5D5B4">
            <w:pPr>
              <w:spacing w:line="574" w:lineRule="exact"/>
              <w:jc w:val="center"/>
              <w:rPr>
                <w:rFonts w:hint="default" w:ascii="Times New Roman" w:hAnsi="Times New Roman" w:eastAsia="仿宋_GB2312" w:cs="Times New Roman"/>
                <w:spacing w:val="-4"/>
                <w:sz w:val="30"/>
                <w:szCs w:val="30"/>
                <w:lang w:val="en-US" w:eastAsia="zh-CN"/>
              </w:rPr>
            </w:pPr>
            <w:r>
              <w:rPr>
                <w:rFonts w:hint="eastAsia" w:ascii="Times New Roman" w:hAnsi="Times New Roman" w:eastAsia="仿宋_GB2312" w:cs="Times New Roman"/>
                <w:spacing w:val="-4"/>
                <w:sz w:val="30"/>
                <w:szCs w:val="30"/>
                <w:lang w:val="en-US" w:eastAsia="zh-CN"/>
              </w:rPr>
              <w:t>28.8</w:t>
            </w:r>
          </w:p>
        </w:tc>
      </w:tr>
      <w:tr w14:paraId="60377F41">
        <w:tblPrEx>
          <w:tblCellMar>
            <w:top w:w="0" w:type="dxa"/>
            <w:left w:w="108" w:type="dxa"/>
            <w:bottom w:w="0" w:type="dxa"/>
            <w:right w:w="108" w:type="dxa"/>
          </w:tblCellMar>
        </w:tblPrEx>
        <w:trPr>
          <w:trHeight w:val="309" w:hRule="atLeast"/>
        </w:trPr>
        <w:tc>
          <w:tcPr>
            <w:tcW w:w="2420" w:type="dxa"/>
            <w:tcBorders>
              <w:top w:val="single" w:color="000000" w:sz="4" w:space="0"/>
              <w:left w:val="single" w:color="000000" w:sz="4" w:space="0"/>
              <w:bottom w:val="single" w:color="000000" w:sz="4" w:space="0"/>
              <w:right w:val="single" w:color="000000" w:sz="4" w:space="0"/>
            </w:tcBorders>
            <w:vAlign w:val="center"/>
          </w:tcPr>
          <w:p w14:paraId="3594A810">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产出</w:t>
            </w:r>
          </w:p>
        </w:tc>
        <w:tc>
          <w:tcPr>
            <w:tcW w:w="2569" w:type="dxa"/>
            <w:tcBorders>
              <w:top w:val="single" w:color="000000" w:sz="4" w:space="0"/>
              <w:left w:val="single" w:color="000000" w:sz="4" w:space="0"/>
              <w:bottom w:val="single" w:color="000000" w:sz="4" w:space="0"/>
              <w:right w:val="single" w:color="000000" w:sz="4" w:space="0"/>
            </w:tcBorders>
            <w:noWrap/>
            <w:vAlign w:val="center"/>
          </w:tcPr>
          <w:p w14:paraId="23003FF0">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30</w:t>
            </w:r>
          </w:p>
        </w:tc>
        <w:tc>
          <w:tcPr>
            <w:tcW w:w="2694" w:type="dxa"/>
            <w:tcBorders>
              <w:top w:val="single" w:color="000000" w:sz="4" w:space="0"/>
              <w:left w:val="single" w:color="000000" w:sz="4" w:space="0"/>
              <w:bottom w:val="single" w:color="000000" w:sz="4" w:space="0"/>
              <w:right w:val="single" w:color="000000" w:sz="4" w:space="0"/>
            </w:tcBorders>
            <w:noWrap/>
            <w:vAlign w:val="center"/>
          </w:tcPr>
          <w:p w14:paraId="5BA190A9">
            <w:pPr>
              <w:spacing w:line="574" w:lineRule="exact"/>
              <w:jc w:val="center"/>
              <w:rPr>
                <w:rFonts w:hint="default" w:ascii="Times New Roman" w:hAnsi="Times New Roman" w:eastAsia="仿宋_GB2312" w:cs="Times New Roman"/>
                <w:spacing w:val="-4"/>
                <w:sz w:val="30"/>
                <w:szCs w:val="30"/>
                <w:lang w:val="en-US" w:eastAsia="zh-CN"/>
              </w:rPr>
            </w:pPr>
            <w:r>
              <w:rPr>
                <w:rFonts w:ascii="Times New Roman" w:hAnsi="Times New Roman" w:eastAsia="仿宋_GB2312" w:cs="Times New Roman"/>
                <w:sz w:val="30"/>
                <w:szCs w:val="30"/>
              </w:rPr>
              <w:t>2</w:t>
            </w:r>
            <w:r>
              <w:rPr>
                <w:rFonts w:hint="eastAsia" w:ascii="Times New Roman" w:hAnsi="Times New Roman" w:eastAsia="仿宋_GB2312" w:cs="Times New Roman"/>
                <w:sz w:val="30"/>
                <w:szCs w:val="30"/>
                <w:lang w:val="en-US" w:eastAsia="zh-CN"/>
              </w:rPr>
              <w:t>9.2</w:t>
            </w:r>
          </w:p>
        </w:tc>
      </w:tr>
      <w:tr w14:paraId="197B67A6">
        <w:tblPrEx>
          <w:tblCellMar>
            <w:top w:w="0" w:type="dxa"/>
            <w:left w:w="108" w:type="dxa"/>
            <w:bottom w:w="0" w:type="dxa"/>
            <w:right w:w="108" w:type="dxa"/>
          </w:tblCellMar>
        </w:tblPrEx>
        <w:trPr>
          <w:trHeight w:val="309" w:hRule="atLeast"/>
        </w:trPr>
        <w:tc>
          <w:tcPr>
            <w:tcW w:w="2420" w:type="dxa"/>
            <w:tcBorders>
              <w:top w:val="single" w:color="000000" w:sz="4" w:space="0"/>
              <w:left w:val="single" w:color="000000" w:sz="4" w:space="0"/>
              <w:bottom w:val="single" w:color="000000" w:sz="4" w:space="0"/>
              <w:right w:val="single" w:color="000000" w:sz="4" w:space="0"/>
            </w:tcBorders>
            <w:vAlign w:val="center"/>
          </w:tcPr>
          <w:p w14:paraId="4C19D4FA">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效益</w:t>
            </w:r>
          </w:p>
        </w:tc>
        <w:tc>
          <w:tcPr>
            <w:tcW w:w="2569" w:type="dxa"/>
            <w:tcBorders>
              <w:top w:val="single" w:color="000000" w:sz="4" w:space="0"/>
              <w:left w:val="single" w:color="000000" w:sz="4" w:space="0"/>
              <w:bottom w:val="single" w:color="000000" w:sz="4" w:space="0"/>
              <w:right w:val="single" w:color="000000" w:sz="4" w:space="0"/>
            </w:tcBorders>
            <w:noWrap/>
            <w:vAlign w:val="center"/>
          </w:tcPr>
          <w:p w14:paraId="160C5809">
            <w:pPr>
              <w:spacing w:line="574" w:lineRule="exact"/>
              <w:jc w:val="center"/>
              <w:rPr>
                <w:rFonts w:hint="default" w:ascii="Times New Roman" w:hAnsi="Times New Roman" w:eastAsia="仿宋_GB2312" w:cs="Times New Roman"/>
                <w:spacing w:val="-4"/>
                <w:sz w:val="30"/>
                <w:szCs w:val="30"/>
                <w:lang w:val="en-US" w:eastAsia="zh-CN"/>
              </w:rPr>
            </w:pPr>
            <w:r>
              <w:rPr>
                <w:rFonts w:hint="eastAsia" w:ascii="Times New Roman" w:hAnsi="Times New Roman" w:eastAsia="仿宋_GB2312" w:cs="Times New Roman"/>
                <w:spacing w:val="-4"/>
                <w:sz w:val="30"/>
                <w:szCs w:val="30"/>
                <w:lang w:val="en-US" w:eastAsia="zh-CN"/>
              </w:rPr>
              <w:t>30</w:t>
            </w:r>
          </w:p>
        </w:tc>
        <w:tc>
          <w:tcPr>
            <w:tcW w:w="2694" w:type="dxa"/>
            <w:tcBorders>
              <w:top w:val="single" w:color="000000" w:sz="4" w:space="0"/>
              <w:left w:val="single" w:color="000000" w:sz="4" w:space="0"/>
              <w:bottom w:val="single" w:color="000000" w:sz="4" w:space="0"/>
              <w:right w:val="single" w:color="000000" w:sz="4" w:space="0"/>
            </w:tcBorders>
            <w:noWrap/>
            <w:vAlign w:val="center"/>
          </w:tcPr>
          <w:p w14:paraId="729A033E">
            <w:pPr>
              <w:spacing w:line="574" w:lineRule="exact"/>
              <w:jc w:val="center"/>
              <w:rPr>
                <w:rFonts w:hint="default" w:ascii="Times New Roman" w:hAnsi="Times New Roman" w:eastAsia="仿宋_GB2312" w:cs="Times New Roman"/>
                <w:spacing w:val="-4"/>
                <w:sz w:val="30"/>
                <w:szCs w:val="30"/>
                <w:lang w:val="en-US" w:eastAsia="zh-CN"/>
              </w:rPr>
            </w:pPr>
            <w:r>
              <w:rPr>
                <w:rFonts w:hint="eastAsia" w:ascii="Times New Roman" w:hAnsi="Times New Roman" w:eastAsia="仿宋_GB2312" w:cs="Times New Roman"/>
                <w:spacing w:val="-4"/>
                <w:sz w:val="30"/>
                <w:szCs w:val="30"/>
                <w:lang w:val="en-US" w:eastAsia="zh-CN"/>
              </w:rPr>
              <w:t>30</w:t>
            </w:r>
          </w:p>
        </w:tc>
      </w:tr>
      <w:tr w14:paraId="224363B4">
        <w:tblPrEx>
          <w:tblCellMar>
            <w:top w:w="0" w:type="dxa"/>
            <w:left w:w="108" w:type="dxa"/>
            <w:bottom w:w="0" w:type="dxa"/>
            <w:right w:w="108" w:type="dxa"/>
          </w:tblCellMar>
        </w:tblPrEx>
        <w:trPr>
          <w:trHeight w:val="309" w:hRule="atLeast"/>
        </w:trPr>
        <w:tc>
          <w:tcPr>
            <w:tcW w:w="2420" w:type="dxa"/>
            <w:tcBorders>
              <w:top w:val="single" w:color="000000" w:sz="4" w:space="0"/>
              <w:left w:val="single" w:color="000000" w:sz="4" w:space="0"/>
              <w:bottom w:val="single" w:color="000000" w:sz="4" w:space="0"/>
              <w:right w:val="single" w:color="000000" w:sz="4" w:space="0"/>
            </w:tcBorders>
            <w:vAlign w:val="center"/>
          </w:tcPr>
          <w:p w14:paraId="2E440407">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满意度</w:t>
            </w:r>
          </w:p>
        </w:tc>
        <w:tc>
          <w:tcPr>
            <w:tcW w:w="2569" w:type="dxa"/>
            <w:tcBorders>
              <w:top w:val="single" w:color="000000" w:sz="4" w:space="0"/>
              <w:left w:val="single" w:color="000000" w:sz="4" w:space="0"/>
              <w:bottom w:val="single" w:color="000000" w:sz="4" w:space="0"/>
              <w:right w:val="single" w:color="000000" w:sz="4" w:space="0"/>
            </w:tcBorders>
            <w:noWrap/>
            <w:vAlign w:val="center"/>
          </w:tcPr>
          <w:p w14:paraId="025B4748">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10</w:t>
            </w:r>
          </w:p>
        </w:tc>
        <w:tc>
          <w:tcPr>
            <w:tcW w:w="2694" w:type="dxa"/>
            <w:tcBorders>
              <w:top w:val="single" w:color="000000" w:sz="4" w:space="0"/>
              <w:left w:val="single" w:color="000000" w:sz="4" w:space="0"/>
              <w:bottom w:val="single" w:color="000000" w:sz="4" w:space="0"/>
              <w:right w:val="single" w:color="000000" w:sz="4" w:space="0"/>
            </w:tcBorders>
            <w:noWrap/>
            <w:vAlign w:val="center"/>
          </w:tcPr>
          <w:p w14:paraId="02CA3441">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10</w:t>
            </w:r>
          </w:p>
        </w:tc>
      </w:tr>
      <w:tr w14:paraId="0B0F49D1">
        <w:tblPrEx>
          <w:tblCellMar>
            <w:top w:w="0" w:type="dxa"/>
            <w:left w:w="108" w:type="dxa"/>
            <w:bottom w:w="0" w:type="dxa"/>
            <w:right w:w="108" w:type="dxa"/>
          </w:tblCellMar>
        </w:tblPrEx>
        <w:trPr>
          <w:trHeight w:val="320" w:hRule="atLeast"/>
        </w:trPr>
        <w:tc>
          <w:tcPr>
            <w:tcW w:w="2420" w:type="dxa"/>
            <w:tcBorders>
              <w:top w:val="single" w:color="000000" w:sz="4" w:space="0"/>
              <w:left w:val="single" w:color="000000" w:sz="4" w:space="0"/>
              <w:bottom w:val="single" w:color="000000" w:sz="4" w:space="0"/>
              <w:right w:val="single" w:color="000000" w:sz="4" w:space="0"/>
            </w:tcBorders>
            <w:noWrap/>
            <w:vAlign w:val="center"/>
          </w:tcPr>
          <w:p w14:paraId="0E54C2CF">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合计</w:t>
            </w:r>
          </w:p>
        </w:tc>
        <w:tc>
          <w:tcPr>
            <w:tcW w:w="2569" w:type="dxa"/>
            <w:tcBorders>
              <w:top w:val="single" w:color="000000" w:sz="4" w:space="0"/>
              <w:left w:val="single" w:color="000000" w:sz="4" w:space="0"/>
              <w:bottom w:val="single" w:color="000000" w:sz="4" w:space="0"/>
              <w:right w:val="single" w:color="000000" w:sz="4" w:space="0"/>
            </w:tcBorders>
            <w:noWrap/>
            <w:vAlign w:val="center"/>
          </w:tcPr>
          <w:p w14:paraId="64C249E7">
            <w:pPr>
              <w:spacing w:line="574" w:lineRule="exact"/>
              <w:jc w:val="center"/>
              <w:rPr>
                <w:rFonts w:ascii="Times New Roman" w:hAnsi="Times New Roman" w:eastAsia="仿宋_GB2312" w:cs="Times New Roman"/>
                <w:spacing w:val="-4"/>
                <w:sz w:val="30"/>
                <w:szCs w:val="30"/>
                <w:lang w:eastAsia="zh-CN"/>
              </w:rPr>
            </w:pPr>
            <w:r>
              <w:rPr>
                <w:rFonts w:ascii="Times New Roman" w:hAnsi="Times New Roman" w:eastAsia="仿宋_GB2312" w:cs="Times New Roman"/>
                <w:sz w:val="30"/>
                <w:szCs w:val="30"/>
              </w:rPr>
              <w:t>100</w:t>
            </w:r>
          </w:p>
        </w:tc>
        <w:tc>
          <w:tcPr>
            <w:tcW w:w="2694" w:type="dxa"/>
            <w:tcBorders>
              <w:top w:val="single" w:color="000000" w:sz="4" w:space="0"/>
              <w:left w:val="single" w:color="000000" w:sz="4" w:space="0"/>
              <w:bottom w:val="single" w:color="000000" w:sz="4" w:space="0"/>
              <w:right w:val="single" w:color="000000" w:sz="4" w:space="0"/>
            </w:tcBorders>
            <w:noWrap/>
            <w:vAlign w:val="center"/>
          </w:tcPr>
          <w:p w14:paraId="0C9A006F">
            <w:pPr>
              <w:spacing w:line="574" w:lineRule="exact"/>
              <w:jc w:val="center"/>
              <w:rPr>
                <w:rFonts w:hint="default" w:ascii="Times New Roman" w:hAnsi="Times New Roman" w:eastAsia="仿宋_GB2312" w:cs="Times New Roman"/>
                <w:spacing w:val="-4"/>
                <w:sz w:val="30"/>
                <w:szCs w:val="30"/>
                <w:lang w:val="en-US" w:eastAsia="zh-CN"/>
              </w:rPr>
            </w:pPr>
            <w:r>
              <w:rPr>
                <w:rFonts w:ascii="Times New Roman" w:hAnsi="Times New Roman" w:eastAsia="仿宋_GB2312" w:cs="Times New Roman"/>
                <w:sz w:val="30"/>
                <w:szCs w:val="30"/>
              </w:rPr>
              <w:t>9</w:t>
            </w:r>
            <w:r>
              <w:rPr>
                <w:rFonts w:hint="eastAsia" w:ascii="Times New Roman" w:hAnsi="Times New Roman" w:eastAsia="仿宋_GB2312" w:cs="Times New Roman"/>
                <w:sz w:val="30"/>
                <w:szCs w:val="30"/>
                <w:lang w:val="en-US" w:eastAsia="zh-CN"/>
              </w:rPr>
              <w:t>8</w:t>
            </w:r>
          </w:p>
        </w:tc>
      </w:tr>
    </w:tbl>
    <w:p w14:paraId="06F83B07">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（一）过程指标</w:t>
      </w:r>
    </w:p>
    <w:p w14:paraId="7BFD1EC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1、资金到位率</w:t>
      </w:r>
    </w:p>
    <w:p w14:paraId="757235FD">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100%，实际完成值100%。完成情况说明：根据上年绩效复核报告（文号：苏立会咨字（2023）3044号），2022年累计到账5亿元;2023年：《关于分配2023年第八批公开发行江苏省政府债券资金有关事项的通知《（苏高新财〔2023〕89号）、苏州高新区财政局预算指标（拨款）通知单，2023年度本项目实际到位债券资金16亿元，2023年江苏省政府专项债券（九期-十四期）发行结果公告、2023年江苏省政府专项债券（九期-十四期）</w:t>
      </w:r>
      <w:bookmarkStart w:id="1" w:name="OLE_LINK1"/>
      <w:r>
        <w:rPr>
          <w:rFonts w:ascii="Times New Roman" w:hAnsi="Times New Roman" w:eastAsia="仿宋_GB2312" w:cs="Times New Roman"/>
          <w:spacing w:val="-4"/>
          <w:sz w:val="30"/>
          <w:szCs w:val="30"/>
          <w:lang w:eastAsia="zh-CN"/>
        </w:rPr>
        <w:t>信息披露文件发行16亿元</w:t>
      </w:r>
      <w:bookmarkEnd w:id="1"/>
      <w:r>
        <w:rPr>
          <w:rFonts w:ascii="Times New Roman" w:hAnsi="Times New Roman" w:eastAsia="仿宋_GB2312" w:cs="Times New Roman"/>
          <w:spacing w:val="-4"/>
          <w:sz w:val="30"/>
          <w:szCs w:val="30"/>
          <w:lang w:eastAsia="zh-CN"/>
        </w:rPr>
        <w:t>。2024年江苏省专项债券二期(城镇建设专项债) 信息披露文件发行3.1亿元、2024年江苏省专项债券十六期(城镇建设专项债) 信息披露文件发行10.9亿元。2025年江苏省政府专项债券（二至八期）信息披露文件发行19.7亿元。资金到位率=（实际到位资金/债券发行额度）×100%=547000/547000*100%=100%。</w:t>
      </w:r>
    </w:p>
    <w:p w14:paraId="3891E08E">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2615FC4D">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2、资金执行率</w:t>
      </w:r>
    </w:p>
    <w:p w14:paraId="6683C050">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指标目标值100%，实际完成值100%。完成情况说明：</w:t>
      </w:r>
      <w:r>
        <w:rPr>
          <w:rFonts w:hint="eastAsia" w:ascii="Times New Roman" w:hAnsi="Times New Roman" w:eastAsia="仿宋_GB2312" w:cs="Times New Roman"/>
          <w:spacing w:val="-4"/>
          <w:sz w:val="30"/>
          <w:szCs w:val="30"/>
          <w:lang w:eastAsia="zh-CN"/>
        </w:rPr>
        <w:t>2025实际到位专项债券资金为19.7亿元，2025年专项债券实际使用金额19.7亿元。</w:t>
      </w:r>
      <w:r>
        <w:rPr>
          <w:rFonts w:hint="eastAsia" w:ascii="Times New Roman" w:hAnsi="Times New Roman" w:eastAsia="仿宋_GB2312" w:cs="Times New Roman"/>
          <w:spacing w:val="-4"/>
          <w:sz w:val="30"/>
          <w:szCs w:val="30"/>
          <w:lang w:val="en-US" w:eastAsia="zh-CN"/>
        </w:rPr>
        <w:t>权重分</w:t>
      </w:r>
      <w:r>
        <w:rPr>
          <w:rFonts w:ascii="Times New Roman" w:hAnsi="Times New Roman" w:eastAsia="仿宋_GB2312" w:cs="Times New Roman"/>
          <w:spacing w:val="-4"/>
          <w:sz w:val="30"/>
          <w:szCs w:val="30"/>
          <w:lang w:eastAsia="zh-CN"/>
        </w:rPr>
        <w:t>19.7/19.7*100%=100%。</w:t>
      </w:r>
    </w:p>
    <w:p w14:paraId="7E303F9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*100%=</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1938DA09">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3、指标目标值合规，实际完成值合规。</w:t>
      </w:r>
    </w:p>
    <w:p w14:paraId="25EB84ED">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 xml:space="preserve">完成情况说明：抽查支出凭证、在建工程成本明细账、对账单。资金按规定用途使用，资金支出合理合规。 </w:t>
      </w:r>
    </w:p>
    <w:p w14:paraId="022A0D3D">
      <w:pPr>
        <w:spacing w:line="574" w:lineRule="exact"/>
        <w:ind w:firstLine="584" w:firstLineChars="200"/>
        <w:jc w:val="both"/>
        <w:rPr>
          <w:rFonts w:ascii="Times New Roman" w:hAnsi="Times New Roman" w:eastAsia="仿宋_GB2312" w:cs="Times New Roman"/>
          <w:b/>
          <w:bCs/>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534AE371">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4、管理制度健全性</w:t>
      </w:r>
    </w:p>
    <w:p w14:paraId="0C930B74">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健全，实际完成值健全。完成情况说明：《关于印发苏州高新区、虎丘区政府性债务管理暂行办法的通知》（苏高新管〔2017〕85号）、财政部关于印发《地方政府专项债务预算管理办法》的通知（财预〔2016〕155号）、关于印发《地方政府专项债务预算管理办法》的通知、苏高新财〔2022〕72号关于印发《苏州高新区政府专项债券项目资金绩效管理暂行办法》的通知、《苏高新教育产业发展（苏州）有限公司内部控制管理制度汇编（终202312）》等。项目有相应的业务管理制度，业务管理制度健全，合法、合规、完整。</w:t>
      </w:r>
    </w:p>
    <w:p w14:paraId="5477B14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该指标得分为：6*100%=6分。</w:t>
      </w:r>
    </w:p>
    <w:p w14:paraId="184FE551">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5、制度执行有效性</w:t>
      </w:r>
    </w:p>
    <w:p w14:paraId="697B4B3E">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指标目标值有效，实际完成值有效。完成情况说明：截止2025年底，</w:t>
      </w:r>
      <w:r>
        <w:rPr>
          <w:rFonts w:hint="eastAsia" w:ascii="Times New Roman" w:hAnsi="Times New Roman" w:eastAsia="仿宋_GB2312" w:cs="Times New Roman"/>
          <w:spacing w:val="-4"/>
          <w:sz w:val="30"/>
          <w:szCs w:val="30"/>
          <w:lang w:eastAsia="zh-CN"/>
        </w:rPr>
        <w:t>制度执行较为有效，可得80%权重分</w:t>
      </w:r>
      <w:r>
        <w:rPr>
          <w:rFonts w:ascii="Times New Roman" w:hAnsi="Times New Roman" w:eastAsia="仿宋_GB2312" w:cs="Times New Roman"/>
          <w:spacing w:val="-4"/>
          <w:sz w:val="30"/>
          <w:szCs w:val="30"/>
          <w:lang w:eastAsia="zh-CN"/>
        </w:rPr>
        <w:t>。</w:t>
      </w:r>
    </w:p>
    <w:p w14:paraId="7081FC28">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该指标得分为：6*</w:t>
      </w:r>
      <w:r>
        <w:rPr>
          <w:rFonts w:hint="eastAsia" w:ascii="Times New Roman" w:hAnsi="Times New Roman" w:eastAsia="仿宋_GB2312" w:cs="Times New Roman"/>
          <w:spacing w:val="-4"/>
          <w:sz w:val="30"/>
          <w:szCs w:val="30"/>
          <w:lang w:val="en-US" w:eastAsia="zh-CN"/>
        </w:rPr>
        <w:t>8</w:t>
      </w:r>
      <w:r>
        <w:rPr>
          <w:rFonts w:ascii="Times New Roman" w:hAnsi="Times New Roman" w:eastAsia="仿宋_GB2312" w:cs="Times New Roman"/>
          <w:spacing w:val="-4"/>
          <w:sz w:val="30"/>
          <w:szCs w:val="30"/>
          <w:lang w:eastAsia="zh-CN"/>
        </w:rPr>
        <w:t>0%=</w:t>
      </w:r>
      <w:r>
        <w:rPr>
          <w:rFonts w:hint="eastAsia" w:ascii="Times New Roman" w:hAnsi="Times New Roman" w:eastAsia="仿宋_GB2312" w:cs="Times New Roman"/>
          <w:spacing w:val="-4"/>
          <w:sz w:val="30"/>
          <w:szCs w:val="30"/>
          <w:lang w:val="en-US" w:eastAsia="zh-CN"/>
        </w:rPr>
        <w:t>4.8</w:t>
      </w:r>
      <w:r>
        <w:rPr>
          <w:rFonts w:ascii="Times New Roman" w:hAnsi="Times New Roman" w:eastAsia="仿宋_GB2312" w:cs="Times New Roman"/>
          <w:spacing w:val="-4"/>
          <w:sz w:val="30"/>
          <w:szCs w:val="30"/>
          <w:lang w:eastAsia="zh-CN"/>
        </w:rPr>
        <w:t>分。</w:t>
      </w:r>
    </w:p>
    <w:p w14:paraId="7E42A9B8">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（二）产出指标</w:t>
      </w:r>
    </w:p>
    <w:p w14:paraId="5BAD857F">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1、取得竣工验收证明书。</w:t>
      </w:r>
    </w:p>
    <w:p w14:paraId="27CB38C5">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取得，实际完成值取得。完成情况说明：取得学生生活综合体、各食堂、校医院、门卫与快递驿站、垃圾房、文体中心、运营服务综合体、科研综合体1、2、3、公共教学楼、北大楼建筑风貌楼区、动物房等各个单体项目竣工验收证明书。得分：6分。</w:t>
      </w:r>
    </w:p>
    <w:p w14:paraId="4D42376E">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2、单体项目完工数量。</w:t>
      </w:r>
    </w:p>
    <w:p w14:paraId="5BE31F5D">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指标目标值5份，实际完成值16份。完成情况说明，按照工规证进行分类，根据竣工验收证明书情况反馈，已完工16个项目。得分：8分。</w:t>
      </w:r>
    </w:p>
    <w:p w14:paraId="53DF410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3、环评项目达标率</w:t>
      </w:r>
    </w:p>
    <w:p w14:paraId="620296E4">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指标目标值达标，实际完成值未达标。</w:t>
      </w:r>
    </w:p>
    <w:p w14:paraId="0D7003B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未达标情况说明：项目单位未提供相关资料。项目整体结束，才能进行项目环评验收，本项目目前尚未进行竣工</w:t>
      </w:r>
      <w:r>
        <w:rPr>
          <w:rFonts w:hint="eastAsia" w:ascii="Times New Roman" w:hAnsi="Times New Roman" w:eastAsia="仿宋_GB2312" w:cs="Times New Roman"/>
          <w:spacing w:val="-4"/>
          <w:sz w:val="30"/>
          <w:szCs w:val="30"/>
          <w:lang w:val="en-US" w:eastAsia="zh-CN"/>
        </w:rPr>
        <w:t>备案</w:t>
      </w:r>
      <w:r>
        <w:rPr>
          <w:rFonts w:ascii="Times New Roman" w:hAnsi="Times New Roman" w:eastAsia="仿宋_GB2312" w:cs="Times New Roman"/>
          <w:spacing w:val="-4"/>
          <w:sz w:val="30"/>
          <w:szCs w:val="30"/>
          <w:lang w:eastAsia="zh-CN"/>
        </w:rPr>
        <w:t>，未达环评验收条件。</w:t>
      </w:r>
    </w:p>
    <w:p w14:paraId="33CA070E">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该指标设计当年无法评价，该项指标涉及权重分8分，分摊到该大类指标（产出类）其他指标上，其他指标共4个，均摊权重分8/4=2分。故复核时，该4个指标权重分均增加2分。即：数量指标14分，时效指标：8分，成本指标8分，合计30分。</w:t>
      </w:r>
    </w:p>
    <w:p w14:paraId="7D7D4D6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4、完工及时率</w:t>
      </w:r>
    </w:p>
    <w:p w14:paraId="41EB39F5">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指标目标值及时，实际完成值及时，但因竣工结算需在完工后一段时间内进行，故未进行竣工结算。</w:t>
      </w:r>
    </w:p>
    <w:p w14:paraId="1583600A">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完成情况说明，共计完成13个单体项目。获取学生生活综合体、各食堂、校医院、门卫与快递驿站、垃圾房、文体中心、运营服务综合体、科研综合体1、2、3、公共教学楼、北大楼建筑风貌楼区、动物房等单体项目均在25年期间取得竣工验收报告，并且配有相关照片进行证明。</w:t>
      </w:r>
    </w:p>
    <w:p w14:paraId="72F4BDA5">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 xml:space="preserve">得分：8 * </w:t>
      </w:r>
      <w:r>
        <w:rPr>
          <w:rFonts w:hint="eastAsia" w:ascii="Times New Roman" w:hAnsi="Times New Roman" w:eastAsia="仿宋_GB2312" w:cs="Times New Roman"/>
          <w:spacing w:val="-4"/>
          <w:sz w:val="30"/>
          <w:szCs w:val="30"/>
          <w:lang w:val="en-US" w:eastAsia="zh-CN"/>
        </w:rPr>
        <w:t>10</w:t>
      </w:r>
      <w:r>
        <w:rPr>
          <w:rFonts w:hint="eastAsia" w:ascii="Times New Roman" w:hAnsi="Times New Roman" w:eastAsia="仿宋_GB2312" w:cs="Times New Roman"/>
          <w:spacing w:val="-4"/>
          <w:sz w:val="30"/>
          <w:szCs w:val="30"/>
          <w:lang w:eastAsia="zh-CN"/>
        </w:rPr>
        <w:t>0</w:t>
      </w:r>
      <w:r>
        <w:rPr>
          <w:rFonts w:ascii="Times New Roman" w:hAnsi="Times New Roman" w:eastAsia="仿宋_GB2312" w:cs="Times New Roman"/>
          <w:spacing w:val="-4"/>
          <w:sz w:val="30"/>
          <w:szCs w:val="30"/>
          <w:lang w:eastAsia="zh-CN"/>
        </w:rPr>
        <w:t xml:space="preserve">% = </w:t>
      </w:r>
      <w:r>
        <w:rPr>
          <w:rFonts w:hint="eastAsia" w:ascii="Times New Roman" w:hAnsi="Times New Roman" w:eastAsia="仿宋_GB2312" w:cs="Times New Roman"/>
          <w:spacing w:val="-4"/>
          <w:sz w:val="30"/>
          <w:szCs w:val="30"/>
          <w:lang w:val="en-US" w:eastAsia="zh-CN"/>
        </w:rPr>
        <w:t>8</w:t>
      </w:r>
      <w:r>
        <w:rPr>
          <w:rFonts w:ascii="Times New Roman" w:hAnsi="Times New Roman" w:eastAsia="仿宋_GB2312" w:cs="Times New Roman"/>
          <w:spacing w:val="-4"/>
          <w:sz w:val="30"/>
          <w:szCs w:val="30"/>
          <w:lang w:eastAsia="zh-CN"/>
        </w:rPr>
        <w:t>分</w:t>
      </w:r>
    </w:p>
    <w:p w14:paraId="7C39938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5、成本控制率。</w:t>
      </w:r>
    </w:p>
    <w:p w14:paraId="4C92A3D4">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100%，实际完成值88%。完成情况说明：抽查项目立项批复、财政拨款基建工程进度及用款明细表、项目成本明细账。经项目建议书批复项目总投资70亿元，已签订合同的预算造价57.886435亿元（财政拨款基建工程进度及用款明细表）。截止2025年底已支付进度款51.3689401亿元；因项目尚未竣工结算，项目总成本无法确定，成本控制率指标不具备评价条件，酌情扣除权重分10%，8 * 90%=7.2分。</w:t>
      </w:r>
    </w:p>
    <w:p w14:paraId="0DFEFE8F">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（三）效益指标</w:t>
      </w:r>
    </w:p>
    <w:p w14:paraId="25C6D0B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1、经济效益</w:t>
      </w:r>
    </w:p>
    <w:p w14:paraId="6A3B6E4A">
      <w:pPr>
        <w:spacing w:line="574" w:lineRule="exact"/>
        <w:ind w:firstLine="584" w:firstLineChars="200"/>
        <w:jc w:val="both"/>
        <w:rPr>
          <w:rFonts w:hint="eastAsia" w:ascii="Times New Roman" w:hAnsi="Times New Roman" w:eastAsia="仿宋_GB2312" w:cs="Times New Roman"/>
          <w:spacing w:val="-4"/>
          <w:sz w:val="30"/>
          <w:szCs w:val="30"/>
          <w:lang w:eastAsia="zh-CN"/>
        </w:rPr>
      </w:pPr>
      <w:r>
        <w:rPr>
          <w:rFonts w:hint="eastAsia" w:ascii="Times New Roman" w:hAnsi="Times New Roman" w:eastAsia="仿宋_GB2312" w:cs="Times New Roman"/>
          <w:spacing w:val="-4"/>
          <w:sz w:val="30"/>
          <w:szCs w:val="30"/>
          <w:lang w:eastAsia="zh-CN"/>
        </w:rPr>
        <w:t>指标目标值100%，实际完成值100%。完成情况说明：本项权重分为5分，项目单位提供财政直接支付凭证、财务对账记录。经审查，依据2024年当年债券3月和9月发行，2.5亿付息日为2024年9月；10.9亿元9月发行本年无需支付。本年支付利息为2022年、2023年、2024年。利息已上缴，利息支付率100%。</w:t>
      </w:r>
    </w:p>
    <w:p w14:paraId="34FB7DFD">
      <w:pPr>
        <w:spacing w:line="574" w:lineRule="exact"/>
        <w:ind w:firstLine="584" w:firstLineChars="200"/>
        <w:jc w:val="both"/>
        <w:rPr>
          <w:rFonts w:hint="eastAsia" w:ascii="Times New Roman" w:hAnsi="Times New Roman" w:eastAsia="仿宋_GB2312" w:cs="Times New Roman"/>
          <w:spacing w:val="-4"/>
          <w:sz w:val="30"/>
          <w:szCs w:val="30"/>
          <w:lang w:eastAsia="zh-CN"/>
        </w:rPr>
      </w:pPr>
      <w:r>
        <w:rPr>
          <w:rFonts w:hint="eastAsia" w:ascii="Times New Roman" w:hAnsi="Times New Roman" w:eastAsia="仿宋_GB2312" w:cs="Times New Roman"/>
          <w:spacing w:val="-4"/>
          <w:sz w:val="30"/>
          <w:szCs w:val="30"/>
          <w:lang w:eastAsia="zh-CN"/>
        </w:rPr>
        <w:t>按照评分要求，该项指标得分为：</w:t>
      </w:r>
      <w:r>
        <w:rPr>
          <w:rFonts w:hint="eastAsia" w:ascii="Times New Roman" w:hAnsi="Times New Roman" w:eastAsia="仿宋_GB2312" w:cs="Times New Roman"/>
          <w:spacing w:val="-4"/>
          <w:sz w:val="30"/>
          <w:szCs w:val="30"/>
          <w:lang w:val="en-US" w:eastAsia="zh-CN"/>
        </w:rPr>
        <w:t>6</w:t>
      </w:r>
      <w:r>
        <w:rPr>
          <w:rFonts w:hint="eastAsia" w:ascii="Times New Roman" w:hAnsi="Times New Roman" w:eastAsia="仿宋_GB2312" w:cs="Times New Roman"/>
          <w:spacing w:val="-4"/>
          <w:sz w:val="30"/>
          <w:szCs w:val="30"/>
          <w:lang w:eastAsia="zh-CN"/>
        </w:rPr>
        <w:t>*100%=5分。</w:t>
      </w:r>
    </w:p>
    <w:p w14:paraId="42687906">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2、社会效应</w:t>
      </w:r>
    </w:p>
    <w:p w14:paraId="08B7733E">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因当前项目2025年度，主要涉及工程相关，以农民工工资专户开户率作为参考指标。指标目标值100%，实际完成值100%。</w:t>
      </w:r>
    </w:p>
    <w:p w14:paraId="2C5BCAF0">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完成情况说明：本项目供应商已开通农民工工资专用账户，证明材料为各银行开户证明。得分：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43C1D989">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3、生态效益</w:t>
      </w:r>
    </w:p>
    <w:p w14:paraId="0ED6076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因当前项目在2025年度，仍处于建设期，以项目建设及运行中垃圾及污水处理率作为参考指标。指标目标值100%，实际完成值100%。</w:t>
      </w:r>
    </w:p>
    <w:p w14:paraId="56A77C08">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完成情况说明：垃圾及污水处理率100%。证明材料为《化粪池清理合同》、《企事业单位内部雨污水管道接通市政雨污水管网许可证》、《生活垃圾清运合同》及南京大学苏州校区 （西区）学生生活综合体垃圾管理台账。</w:t>
      </w:r>
    </w:p>
    <w:p w14:paraId="7CF68509">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767F862A">
      <w:pPr>
        <w:spacing w:line="574" w:lineRule="exact"/>
        <w:ind w:firstLine="584" w:firstLineChars="200"/>
        <w:jc w:val="both"/>
        <w:rPr>
          <w:rFonts w:ascii="Times New Roman" w:hAnsi="Times New Roman" w:eastAsia="仿宋_GB2312" w:cs="Times New Roman"/>
          <w:spacing w:val="-4"/>
          <w:sz w:val="30"/>
          <w:szCs w:val="30"/>
          <w:lang w:eastAsia="zh-CN"/>
        </w:rPr>
      </w:pPr>
    </w:p>
    <w:p w14:paraId="250FF3F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4、可持续发展效益</w:t>
      </w:r>
    </w:p>
    <w:p w14:paraId="004BE723">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（1）.重大安全事故发生率</w:t>
      </w:r>
    </w:p>
    <w:p w14:paraId="480C2DFB">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指标目标值0，实际完成值0。</w:t>
      </w:r>
    </w:p>
    <w:p w14:paraId="5DA2C803">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完成情况说明：本项目重大安全事故发生率为0。</w:t>
      </w:r>
    </w:p>
    <w:p w14:paraId="7AEECCB4">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36300EED">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（2）.开展安全生产培训（次）</w:t>
      </w:r>
    </w:p>
    <w:p w14:paraId="1E228D58">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指标目标值2次，实际完成值2次。</w:t>
      </w:r>
    </w:p>
    <w:p w14:paraId="574D6BE2">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完成情况说明：2025年共开展两次安全生产培训，安全生产法律法规培训、苏州市安全生产条例学习宣贯，提供照片。</w:t>
      </w:r>
    </w:p>
    <w:p w14:paraId="0F5A83BC">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得分：</w:t>
      </w:r>
      <w:r>
        <w:rPr>
          <w:rFonts w:hint="eastAsia" w:ascii="Times New Roman" w:hAnsi="Times New Roman" w:eastAsia="仿宋_GB2312" w:cs="Times New Roman"/>
          <w:spacing w:val="-4"/>
          <w:sz w:val="30"/>
          <w:szCs w:val="30"/>
          <w:lang w:val="en-US" w:eastAsia="zh-CN"/>
        </w:rPr>
        <w:t>6</w:t>
      </w:r>
      <w:r>
        <w:rPr>
          <w:rFonts w:ascii="Times New Roman" w:hAnsi="Times New Roman" w:eastAsia="仿宋_GB2312" w:cs="Times New Roman"/>
          <w:spacing w:val="-4"/>
          <w:sz w:val="30"/>
          <w:szCs w:val="30"/>
          <w:lang w:eastAsia="zh-CN"/>
        </w:rPr>
        <w:t>分。</w:t>
      </w:r>
    </w:p>
    <w:p w14:paraId="7D1D38EA">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（四）服务对象满意度指标</w:t>
      </w:r>
    </w:p>
    <w:p w14:paraId="56D95434">
      <w:pPr>
        <w:suppressAutoHyphens/>
        <w:spacing w:line="560" w:lineRule="exact"/>
        <w:ind w:right="28" w:firstLine="584" w:firstLineChars="200"/>
        <w:contextualSpacing/>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指标目标值≥90%，实际完成值100%。完成情况说明：提供13份项目施工及设计企业满意度调查方案、满意度调查报告、问卷调查表。调查方案25%：较为完整，包括明确调查对象、样本量选取方式、满意度问题设置等内容。样本量25%：对13家</w:t>
      </w:r>
      <w:r>
        <w:rPr>
          <w:rFonts w:ascii="Times New Roman" w:hAnsi="Times New Roman" w:eastAsia="仿宋_GB2312" w:cs="Times New Roman"/>
          <w:sz w:val="32"/>
          <w:szCs w:val="32"/>
          <w:lang w:eastAsia="zh-CN"/>
        </w:rPr>
        <w:t>项</w:t>
      </w:r>
      <w:r>
        <w:rPr>
          <w:rFonts w:ascii="Times New Roman" w:hAnsi="Times New Roman" w:eastAsia="仿宋_GB2312" w:cs="Times New Roman"/>
          <w:spacing w:val="-4"/>
          <w:sz w:val="30"/>
          <w:szCs w:val="30"/>
          <w:lang w:eastAsia="zh-CN"/>
        </w:rPr>
        <w:t>目施工及设计企业进行调查；调查内容20%：调查内容与本项目相关性较高。调查时间10%：调查时间为2025年。调查报告20%：按要求对调查内容进行分析汇总，调查报告内容较详实。其中，每份问卷调查表分别回答7项相关满意度问题，得到90项非常满意回答以及1项比较满意回答，均在满意侧。</w:t>
      </w:r>
    </w:p>
    <w:p w14:paraId="651D5367">
      <w:pPr>
        <w:suppressAutoHyphens/>
        <w:spacing w:line="560" w:lineRule="exact"/>
        <w:ind w:right="28" w:firstLine="592"/>
        <w:contextualSpacing/>
        <w:rPr>
          <w:rFonts w:ascii="Times New Roman" w:hAnsi="Times New Roman" w:eastAsia="仿宋_GB2312" w:cs="Times New Roman"/>
          <w:sz w:val="32"/>
          <w:szCs w:val="32"/>
          <w:lang w:eastAsia="zh-CN"/>
        </w:rPr>
      </w:pPr>
      <w:r>
        <w:rPr>
          <w:rFonts w:ascii="Times New Roman" w:hAnsi="Times New Roman" w:eastAsia="仿宋_GB2312" w:cs="Times New Roman"/>
          <w:spacing w:val="-4"/>
          <w:sz w:val="30"/>
          <w:szCs w:val="30"/>
          <w:lang w:eastAsia="zh-CN"/>
        </w:rPr>
        <w:t>满意度指标得分为10*（25%+25%+20%+10%+20%） = 10分。</w:t>
      </w:r>
    </w:p>
    <w:p w14:paraId="0881F83F">
      <w:pPr>
        <w:spacing w:line="574" w:lineRule="exact"/>
        <w:ind w:firstLine="584" w:firstLineChars="200"/>
        <w:jc w:val="both"/>
        <w:rPr>
          <w:rFonts w:ascii="Times New Roman" w:hAnsi="Times New Roman" w:eastAsia="仿宋_GB2312" w:cs="Times New Roman"/>
          <w:spacing w:val="-4"/>
          <w:sz w:val="30"/>
          <w:szCs w:val="30"/>
          <w:lang w:eastAsia="zh-CN"/>
        </w:rPr>
      </w:pPr>
    </w:p>
    <w:p w14:paraId="523DE7C8">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三、存在问题</w:t>
      </w:r>
    </w:p>
    <w:p w14:paraId="58CC0651">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个别指标设定存在一定的不合理之处。以过程指标“环评项目达标率”为例，项目建设</w:t>
      </w:r>
      <w:r>
        <w:rPr>
          <w:rFonts w:hint="eastAsia" w:ascii="Times New Roman" w:hAnsi="Times New Roman" w:eastAsia="仿宋_GB2312" w:cs="Times New Roman"/>
          <w:spacing w:val="-4"/>
          <w:sz w:val="30"/>
          <w:szCs w:val="30"/>
          <w:lang w:val="en-US" w:eastAsia="zh-CN"/>
        </w:rPr>
        <w:t>完工</w:t>
      </w:r>
      <w:r>
        <w:rPr>
          <w:rFonts w:ascii="Times New Roman" w:hAnsi="Times New Roman" w:eastAsia="仿宋_GB2312" w:cs="Times New Roman"/>
          <w:spacing w:val="-4"/>
          <w:sz w:val="30"/>
          <w:szCs w:val="30"/>
          <w:lang w:eastAsia="zh-CN"/>
        </w:rPr>
        <w:t>后，</w:t>
      </w:r>
      <w:r>
        <w:rPr>
          <w:rFonts w:hint="eastAsia" w:ascii="Times New Roman" w:hAnsi="Times New Roman" w:eastAsia="仿宋_GB2312" w:cs="Times New Roman"/>
          <w:spacing w:val="-4"/>
          <w:sz w:val="30"/>
          <w:szCs w:val="30"/>
          <w:lang w:val="en-US" w:eastAsia="zh-CN"/>
        </w:rPr>
        <w:t>项目整体</w:t>
      </w:r>
      <w:r>
        <w:rPr>
          <w:rFonts w:ascii="Times New Roman" w:hAnsi="Times New Roman" w:eastAsia="仿宋_GB2312" w:cs="Times New Roman"/>
          <w:spacing w:val="-4"/>
          <w:sz w:val="30"/>
          <w:szCs w:val="30"/>
          <w:lang w:eastAsia="zh-CN"/>
        </w:rPr>
        <w:t>竣工节点相对滞后，</w:t>
      </w:r>
      <w:r>
        <w:rPr>
          <w:rFonts w:hint="eastAsia" w:ascii="Times New Roman" w:hAnsi="Times New Roman" w:eastAsia="仿宋_GB2312" w:cs="Times New Roman"/>
          <w:spacing w:val="-4"/>
          <w:sz w:val="30"/>
          <w:szCs w:val="30"/>
          <w:lang w:val="en-US" w:eastAsia="zh-CN"/>
        </w:rPr>
        <w:t>环评需要在项目整体竣工后开展</w:t>
      </w:r>
      <w:r>
        <w:rPr>
          <w:rFonts w:ascii="Times New Roman" w:hAnsi="Times New Roman" w:eastAsia="仿宋_GB2312" w:cs="Times New Roman"/>
          <w:spacing w:val="-4"/>
          <w:sz w:val="30"/>
          <w:szCs w:val="30"/>
          <w:lang w:eastAsia="zh-CN"/>
        </w:rPr>
        <w:t>，而指标设定时未能充分考虑</w:t>
      </w:r>
      <w:r>
        <w:rPr>
          <w:rFonts w:hint="eastAsia" w:ascii="Times New Roman" w:hAnsi="Times New Roman" w:eastAsia="仿宋_GB2312" w:cs="Times New Roman"/>
          <w:spacing w:val="-4"/>
          <w:sz w:val="30"/>
          <w:szCs w:val="30"/>
          <w:lang w:val="en-US" w:eastAsia="zh-CN"/>
        </w:rPr>
        <w:t>时间完工和整体竣工上的时间差异</w:t>
      </w:r>
      <w:r>
        <w:rPr>
          <w:rFonts w:ascii="Times New Roman" w:hAnsi="Times New Roman" w:eastAsia="仿宋_GB2312" w:cs="Times New Roman"/>
          <w:spacing w:val="-4"/>
          <w:sz w:val="30"/>
          <w:szCs w:val="30"/>
          <w:lang w:eastAsia="zh-CN"/>
        </w:rPr>
        <w:t>。</w:t>
      </w:r>
    </w:p>
    <w:p w14:paraId="013873AA">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四、有关建议</w:t>
      </w:r>
    </w:p>
    <w:p w14:paraId="6E95BB4F">
      <w:pPr>
        <w:spacing w:line="574" w:lineRule="exact"/>
        <w:ind w:firstLine="584" w:firstLineChars="200"/>
        <w:jc w:val="both"/>
        <w:rPr>
          <w:rFonts w:ascii="Times New Roman" w:hAnsi="Times New Roman" w:eastAsia="仿宋_GB2312" w:cs="Times New Roman"/>
          <w:spacing w:val="-4"/>
          <w:sz w:val="30"/>
          <w:szCs w:val="30"/>
          <w:lang w:eastAsia="zh-CN"/>
        </w:rPr>
      </w:pPr>
      <w:r>
        <w:rPr>
          <w:rFonts w:ascii="Times New Roman" w:hAnsi="Times New Roman" w:eastAsia="仿宋_GB2312" w:cs="Times New Roman"/>
          <w:spacing w:val="-4"/>
          <w:sz w:val="30"/>
          <w:szCs w:val="30"/>
          <w:lang w:eastAsia="zh-CN"/>
        </w:rPr>
        <w:t>认真做好调研工作，科学地规划和制定项目绩效目标值，使年度绩效目标值与实际完成情况相符，确保目标值准确可衡量，不遗漏重要因素。</w:t>
      </w:r>
    </w:p>
    <w:sectPr>
      <w:type w:val="continuous"/>
      <w:pgSz w:w="11910" w:h="1684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81DEE2-C19C-48FE-841B-6F223C8C3E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0000000000000000000"/>
    <w:charset w:val="86"/>
    <w:family w:val="swiss"/>
    <w:pitch w:val="default"/>
    <w:sig w:usb0="00000000" w:usb1="00000000" w:usb2="00000000" w:usb3="00000000" w:csb0="00040000" w:csb1="00000000"/>
    <w:embedRegular r:id="rId2" w:fontKey="{E8741D4C-0AA4-4EE5-8E29-3840B6D5BF95}"/>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3" w:fontKey="{26E2FDF7-040A-4606-AC16-99BA92BDEF8C}"/>
  </w:font>
  <w:font w:name="方正楷体_GBK">
    <w:altName w:val="微软雅黑"/>
    <w:panose1 w:val="00000000000000000000"/>
    <w:charset w:val="86"/>
    <w:family w:val="script"/>
    <w:pitch w:val="default"/>
    <w:sig w:usb0="00000000" w:usb1="00000000" w:usb2="00000000" w:usb3="00000000" w:csb0="00040000" w:csb1="00000000"/>
    <w:embedRegular r:id="rId4" w:fontKey="{0DCB43D4-B80B-4A7E-9886-53446794909A}"/>
  </w:font>
  <w:font w:name="仿宋_GB2312">
    <w:panose1 w:val="02010609030101010101"/>
    <w:charset w:val="86"/>
    <w:family w:val="modern"/>
    <w:pitch w:val="default"/>
    <w:sig w:usb0="00000001" w:usb1="080E0000" w:usb2="00000000" w:usb3="00000000" w:csb0="00040000" w:csb1="00000000"/>
    <w:embedRegular r:id="rId5" w:fontKey="{06AD7F25-9219-4D82-A1D8-54ACB6E4F060}"/>
  </w:font>
  <w:font w:name="方正仿宋_GBK">
    <w:altName w:val="微软雅黑"/>
    <w:panose1 w:val="00000000000000000000"/>
    <w:charset w:val="86"/>
    <w:family w:val="auto"/>
    <w:pitch w:val="default"/>
    <w:sig w:usb0="00000000" w:usb1="00000000" w:usb2="00000000" w:usb3="00000000" w:csb0="00040000" w:csb1="00000000"/>
    <w:embedRegular r:id="rId6" w:fontKey="{AA06D9CF-2684-4CB9-9CD1-04C28866B5F8}"/>
  </w:font>
  <w:font w:name="仿宋">
    <w:panose1 w:val="02010609060101010101"/>
    <w:charset w:val="86"/>
    <w:family w:val="modern"/>
    <w:pitch w:val="default"/>
    <w:sig w:usb0="800002BF" w:usb1="38CF7CFA" w:usb2="00000016" w:usb3="00000000" w:csb0="00040001" w:csb1="00000000"/>
    <w:embedRegular r:id="rId7" w:fontKey="{86ACC9F6-A908-4D2D-88C3-B1535FFCA0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3MzhkOTQzZjYwMTBmMjAxOGI1MjU5N2EzMDBkNGEifQ=="/>
  </w:docVars>
  <w:rsids>
    <w:rsidRoot w:val="006A0286"/>
    <w:rsid w:val="00000152"/>
    <w:rsid w:val="0000186F"/>
    <w:rsid w:val="00027842"/>
    <w:rsid w:val="0006567F"/>
    <w:rsid w:val="000B1DF9"/>
    <w:rsid w:val="000F0010"/>
    <w:rsid w:val="001076FD"/>
    <w:rsid w:val="00112A3C"/>
    <w:rsid w:val="001223DC"/>
    <w:rsid w:val="0012335B"/>
    <w:rsid w:val="0017171F"/>
    <w:rsid w:val="00193091"/>
    <w:rsid w:val="001A5C85"/>
    <w:rsid w:val="001D43CE"/>
    <w:rsid w:val="001E10C0"/>
    <w:rsid w:val="001E1F08"/>
    <w:rsid w:val="001F5652"/>
    <w:rsid w:val="002034C4"/>
    <w:rsid w:val="00206A06"/>
    <w:rsid w:val="00223670"/>
    <w:rsid w:val="0025228B"/>
    <w:rsid w:val="00271B68"/>
    <w:rsid w:val="00276350"/>
    <w:rsid w:val="00291BD4"/>
    <w:rsid w:val="002936D2"/>
    <w:rsid w:val="002A72B0"/>
    <w:rsid w:val="002F39B9"/>
    <w:rsid w:val="00300C76"/>
    <w:rsid w:val="00317F35"/>
    <w:rsid w:val="00330FF7"/>
    <w:rsid w:val="0035477A"/>
    <w:rsid w:val="00382CAC"/>
    <w:rsid w:val="003A4622"/>
    <w:rsid w:val="003A75BE"/>
    <w:rsid w:val="003C5A1E"/>
    <w:rsid w:val="003D4D43"/>
    <w:rsid w:val="003E743B"/>
    <w:rsid w:val="003F7887"/>
    <w:rsid w:val="00412A90"/>
    <w:rsid w:val="00417A4D"/>
    <w:rsid w:val="00427AA3"/>
    <w:rsid w:val="00453872"/>
    <w:rsid w:val="00485FCA"/>
    <w:rsid w:val="00496584"/>
    <w:rsid w:val="004B1555"/>
    <w:rsid w:val="004E3E98"/>
    <w:rsid w:val="004F2889"/>
    <w:rsid w:val="004F4D62"/>
    <w:rsid w:val="00500503"/>
    <w:rsid w:val="005014D6"/>
    <w:rsid w:val="005233F8"/>
    <w:rsid w:val="00541FD2"/>
    <w:rsid w:val="005465BB"/>
    <w:rsid w:val="0055497B"/>
    <w:rsid w:val="0058181F"/>
    <w:rsid w:val="005A4B94"/>
    <w:rsid w:val="005C5968"/>
    <w:rsid w:val="005D094F"/>
    <w:rsid w:val="005D3F95"/>
    <w:rsid w:val="005D61F8"/>
    <w:rsid w:val="006032DC"/>
    <w:rsid w:val="006101F4"/>
    <w:rsid w:val="00615833"/>
    <w:rsid w:val="00624D40"/>
    <w:rsid w:val="006434CC"/>
    <w:rsid w:val="00656BFF"/>
    <w:rsid w:val="006A0286"/>
    <w:rsid w:val="006A0B60"/>
    <w:rsid w:val="006C382C"/>
    <w:rsid w:val="006C53B0"/>
    <w:rsid w:val="006F1257"/>
    <w:rsid w:val="006F2AB8"/>
    <w:rsid w:val="00705B52"/>
    <w:rsid w:val="0072674E"/>
    <w:rsid w:val="007416BA"/>
    <w:rsid w:val="00741A4B"/>
    <w:rsid w:val="0075652D"/>
    <w:rsid w:val="0075782D"/>
    <w:rsid w:val="0076196B"/>
    <w:rsid w:val="00771629"/>
    <w:rsid w:val="00784065"/>
    <w:rsid w:val="007A754E"/>
    <w:rsid w:val="007C56D4"/>
    <w:rsid w:val="007E5FB5"/>
    <w:rsid w:val="007F57B5"/>
    <w:rsid w:val="00830C91"/>
    <w:rsid w:val="008B40FF"/>
    <w:rsid w:val="008C3D13"/>
    <w:rsid w:val="008C4CB4"/>
    <w:rsid w:val="008C735A"/>
    <w:rsid w:val="008D44EA"/>
    <w:rsid w:val="008D7527"/>
    <w:rsid w:val="008F6FC9"/>
    <w:rsid w:val="00926E98"/>
    <w:rsid w:val="00942023"/>
    <w:rsid w:val="0095504B"/>
    <w:rsid w:val="009B2D68"/>
    <w:rsid w:val="009C4D6E"/>
    <w:rsid w:val="00A06EF1"/>
    <w:rsid w:val="00A14DE2"/>
    <w:rsid w:val="00A716C8"/>
    <w:rsid w:val="00A72387"/>
    <w:rsid w:val="00A863A2"/>
    <w:rsid w:val="00AA0D7F"/>
    <w:rsid w:val="00AA24DC"/>
    <w:rsid w:val="00AA3801"/>
    <w:rsid w:val="00AC69E3"/>
    <w:rsid w:val="00AD3590"/>
    <w:rsid w:val="00B14C89"/>
    <w:rsid w:val="00B33955"/>
    <w:rsid w:val="00B6460A"/>
    <w:rsid w:val="00B9545C"/>
    <w:rsid w:val="00BB3E37"/>
    <w:rsid w:val="00BC32B8"/>
    <w:rsid w:val="00BC687D"/>
    <w:rsid w:val="00BD0CC1"/>
    <w:rsid w:val="00BD1F01"/>
    <w:rsid w:val="00C21AB4"/>
    <w:rsid w:val="00C45558"/>
    <w:rsid w:val="00C755CA"/>
    <w:rsid w:val="00C779AE"/>
    <w:rsid w:val="00C957EF"/>
    <w:rsid w:val="00CB64D3"/>
    <w:rsid w:val="00CF31D8"/>
    <w:rsid w:val="00CF5A3C"/>
    <w:rsid w:val="00CF61B6"/>
    <w:rsid w:val="00D20830"/>
    <w:rsid w:val="00D338EB"/>
    <w:rsid w:val="00D71C46"/>
    <w:rsid w:val="00D76DBD"/>
    <w:rsid w:val="00D855DD"/>
    <w:rsid w:val="00D85F96"/>
    <w:rsid w:val="00D9483F"/>
    <w:rsid w:val="00DD0CC0"/>
    <w:rsid w:val="00DE067D"/>
    <w:rsid w:val="00DE106E"/>
    <w:rsid w:val="00DF053C"/>
    <w:rsid w:val="00E0125E"/>
    <w:rsid w:val="00E1011A"/>
    <w:rsid w:val="00E70A55"/>
    <w:rsid w:val="00EA085E"/>
    <w:rsid w:val="00EB03FD"/>
    <w:rsid w:val="00ED06B2"/>
    <w:rsid w:val="00ED28C1"/>
    <w:rsid w:val="00ED37D0"/>
    <w:rsid w:val="00EF65E3"/>
    <w:rsid w:val="00F161C4"/>
    <w:rsid w:val="00F35A70"/>
    <w:rsid w:val="00F4202D"/>
    <w:rsid w:val="00FB5E7E"/>
    <w:rsid w:val="00FC1C4A"/>
    <w:rsid w:val="00FC405A"/>
    <w:rsid w:val="00FC7877"/>
    <w:rsid w:val="0D2C069D"/>
    <w:rsid w:val="0EBC3BE6"/>
    <w:rsid w:val="0F2652BC"/>
    <w:rsid w:val="1B2F50C2"/>
    <w:rsid w:val="29A5208A"/>
    <w:rsid w:val="2DE0049D"/>
    <w:rsid w:val="331217FF"/>
    <w:rsid w:val="3FA01029"/>
    <w:rsid w:val="48447AA3"/>
    <w:rsid w:val="48BA2047"/>
    <w:rsid w:val="51774898"/>
    <w:rsid w:val="59C81963"/>
    <w:rsid w:val="5C4E1BEB"/>
    <w:rsid w:val="63CC1360"/>
    <w:rsid w:val="65095AD5"/>
    <w:rsid w:val="663517A8"/>
    <w:rsid w:val="66482312"/>
    <w:rsid w:val="66BA7413"/>
    <w:rsid w:val="67D45F1B"/>
    <w:rsid w:val="6B7C455F"/>
    <w:rsid w:val="756B7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1"/>
    <w:pPr>
      <w:ind w:left="100"/>
      <w:outlineLvl w:val="0"/>
    </w:pPr>
    <w:rPr>
      <w:rFonts w:ascii="宋体" w:hAnsi="宋体" w:eastAsia="宋体"/>
      <w:sz w:val="36"/>
      <w:szCs w:val="36"/>
    </w:rPr>
  </w:style>
  <w:style w:type="paragraph" w:styleId="3">
    <w:name w:val="heading 2"/>
    <w:basedOn w:val="1"/>
    <w:next w:val="1"/>
    <w:qFormat/>
    <w:uiPriority w:val="1"/>
    <w:pPr>
      <w:ind w:left="-21" w:firstLine="2592"/>
      <w:outlineLvl w:val="1"/>
    </w:pPr>
    <w:rPr>
      <w:rFonts w:ascii="宋体" w:hAnsi="宋体" w:eastAsia="宋体"/>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207"/>
      <w:ind w:left="120"/>
    </w:pPr>
    <w:rPr>
      <w:rFonts w:ascii="宋体" w:hAnsi="宋体" w:eastAsia="宋体"/>
      <w:sz w:val="30"/>
      <w:szCs w:val="30"/>
    </w:rPr>
  </w:style>
  <w:style w:type="paragraph" w:styleId="5">
    <w:name w:val="footer"/>
    <w:basedOn w:val="1"/>
    <w:link w:val="15"/>
    <w:autoRedefine/>
    <w:unhideWhenUsed/>
    <w:qFormat/>
    <w:uiPriority w:val="99"/>
    <w:pPr>
      <w:tabs>
        <w:tab w:val="center" w:pos="4153"/>
        <w:tab w:val="right" w:pos="8306"/>
      </w:tabs>
      <w:snapToGrid w:val="0"/>
    </w:pPr>
    <w:rPr>
      <w:sz w:val="18"/>
      <w:szCs w:val="18"/>
    </w:rPr>
  </w:style>
  <w:style w:type="paragraph" w:styleId="6">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autoRedefine/>
    <w:semiHidden/>
    <w:unhideWhenUsed/>
    <w:qFormat/>
    <w:uiPriority w:val="2"/>
    <w:tblPr>
      <w:tblCellMar>
        <w:top w:w="0" w:type="dxa"/>
        <w:left w:w="0" w:type="dxa"/>
        <w:bottom w:w="0" w:type="dxa"/>
        <w:right w:w="0" w:type="dxa"/>
      </w:tblCellMar>
    </w:tblPr>
  </w:style>
  <w:style w:type="paragraph" w:styleId="11">
    <w:name w:val="List Paragraph"/>
    <w:basedOn w:val="1"/>
    <w:autoRedefine/>
    <w:qFormat/>
    <w:uiPriority w:val="1"/>
  </w:style>
  <w:style w:type="paragraph" w:customStyle="1" w:styleId="12">
    <w:name w:val="Table Paragraph"/>
    <w:basedOn w:val="1"/>
    <w:autoRedefine/>
    <w:qFormat/>
    <w:uiPriority w:val="1"/>
  </w:style>
  <w:style w:type="paragraph" w:customStyle="1" w:styleId="13">
    <w:name w:val="Default"/>
    <w:autoRedefine/>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4">
    <w:name w:val="页眉 Char"/>
    <w:basedOn w:val="9"/>
    <w:link w:val="6"/>
    <w:autoRedefine/>
    <w:qFormat/>
    <w:uiPriority w:val="99"/>
    <w:rPr>
      <w:sz w:val="18"/>
      <w:szCs w:val="18"/>
    </w:rPr>
  </w:style>
  <w:style w:type="character" w:customStyle="1" w:styleId="15">
    <w:name w:val="页脚 Char"/>
    <w:basedOn w:val="9"/>
    <w:link w:val="5"/>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3686</Words>
  <Characters>4149</Characters>
  <Lines>29</Lines>
  <Paragraphs>8</Paragraphs>
  <TotalTime>14</TotalTime>
  <ScaleCrop>false</ScaleCrop>
  <LinksUpToDate>false</LinksUpToDate>
  <CharactersWithSpaces>4162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2021-08-19T09:37:00Z</dcterms:created>
  <dc:creator>张肖军(拟稿)</dc:creator>
  <cp:lastModifiedBy>鼓上画老虎</cp:lastModifiedBy>
  <dcterms:modified xsi:type="dcterms:W3CDTF">2026-06-30T07:07:29Z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2052-12.1.0.26895</vt:lpwstr>
  </property>
  <property fmtid="{D5CDD505-2E9C-101B-9397-08002B2CF9AE}" pid="6" name="ICV">
    <vt:lpwstr>6110B7415DC740C58185CD86345CBEB1</vt:lpwstr>
  </property>
  <property fmtid="{D5CDD505-2E9C-101B-9397-08002B2CF9AE}" pid="7" name="KSOTemplateDocerSaveRecord">
    <vt:lpwstr>eyJoZGlkIjoiZTAzNjNjMjU3NWY0YzY3OGE3YWNlMzAxM2Q5MDdhM2IiLCJ1c2VySWQiOiIxMjA5NDc5Mjg4In0=</vt:lpwstr>
  </property>
</Properties>
</file>