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C86EE">
      <w:pPr>
        <w:spacing w:line="360" w:lineRule="auto"/>
        <w:jc w:val="center"/>
        <w:rPr>
          <w:rFonts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江苏省政府专项债券项目绩效自评价报告</w:t>
      </w:r>
    </w:p>
    <w:p w14:paraId="675344D1">
      <w:pPr>
        <w:spacing w:line="360" w:lineRule="auto"/>
        <w:jc w:val="center"/>
        <w:rPr>
          <w:rFonts w:ascii="仿宋_GB2312" w:hAnsi="仿宋_GB2312" w:eastAsia="仿宋_GB2312" w:cs="仿宋_GB2312"/>
          <w:b/>
          <w:bCs/>
          <w:sz w:val="36"/>
          <w:szCs w:val="36"/>
          <w:lang w:eastAsia="zh-CN"/>
        </w:rPr>
      </w:pPr>
      <w:r>
        <w:rPr>
          <w:rFonts w:hint="eastAsia" w:ascii="仿宋_GB2312" w:hAnsi="仿宋_GB2312" w:eastAsia="仿宋_GB2312" w:cs="仿宋_GB2312"/>
          <w:b/>
          <w:bCs/>
          <w:sz w:val="36"/>
          <w:szCs w:val="36"/>
          <w:lang w:eastAsia="zh-CN"/>
        </w:rPr>
        <w:t>（苏州高新区光子产业园融合发展项目）</w:t>
      </w:r>
    </w:p>
    <w:p w14:paraId="22F0C5F4">
      <w:pPr>
        <w:numPr>
          <w:ilvl w:val="0"/>
          <w:numId w:val="1"/>
        </w:numPr>
        <w:spacing w:line="360" w:lineRule="auto"/>
        <w:ind w:firstLine="627" w:firstLineChars="200"/>
        <w:jc w:val="both"/>
        <w:outlineLvl w:val="0"/>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项目情况</w:t>
      </w:r>
    </w:p>
    <w:p w14:paraId="7CF3B9BE">
      <w:pPr>
        <w:spacing w:line="360" w:lineRule="auto"/>
        <w:ind w:firstLine="627" w:firstLineChars="200"/>
        <w:jc w:val="both"/>
        <w:outlineLvl w:val="1"/>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（一）项目概况</w:t>
      </w:r>
    </w:p>
    <w:p w14:paraId="43215BBA">
      <w:pPr>
        <w:spacing w:line="360" w:lineRule="auto"/>
        <w:ind w:firstLine="627" w:firstLineChars="200"/>
        <w:jc w:val="both"/>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1.项目背景</w:t>
      </w:r>
    </w:p>
    <w:p w14:paraId="0BE91DA7">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十四五”规划纲要》明确提出要加快布局量子信息、光电子等战略性新兴产业，构建现代产业体系。近年来，江苏聚焦“1650”产业体系建设，及时将科技创新成果应用到具体产业和产业链上，打造具有国际竞争力的战略性新兴产业集群。苏州市通过建立“八个一”推进模式，布局一批先导园区，建设一批未来产业（技术）研究院，培育一批链主企业，打造一批创新平台。苏州高新区强化产业规划，全力打造一流产业集群。在持续做大做强新一代信息技术、高端装备制造两大主导产业的同时，大力发展壮大新能源+绿色低碳、光子+集成电路、医疗器械+大健康等新兴产业。为打造集研发、生产、孵化、展示及高端人才聚集于一体的综合性光子产业创新高地，特建设本项目。</w:t>
      </w:r>
    </w:p>
    <w:p w14:paraId="19DC8FD6">
      <w:pPr>
        <w:spacing w:line="574" w:lineRule="exact"/>
        <w:ind w:firstLine="627" w:firstLineChars="200"/>
        <w:jc w:val="both"/>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2.项目主要内容</w:t>
      </w:r>
    </w:p>
    <w:p w14:paraId="4A4DB24C">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（1）建设内容</w:t>
      </w:r>
    </w:p>
    <w:p w14:paraId="57A0AA36">
      <w:pPr>
        <w:spacing w:line="574" w:lineRule="exact"/>
        <w:ind w:firstLine="624" w:firstLineChars="200"/>
        <w:jc w:val="both"/>
        <w:rPr>
          <w:rFonts w:ascii="仿宋_GB2312" w:hAnsi="仿宋_GB2312" w:eastAsia="仿宋_GB2312" w:cs="仿宋_GB2312"/>
          <w:spacing w:val="-4"/>
          <w:sz w:val="32"/>
          <w:szCs w:val="32"/>
          <w:highlight w:val="none"/>
          <w:lang w:eastAsia="zh-CN"/>
        </w:rPr>
      </w:pPr>
      <w:r>
        <w:rPr>
          <w:rFonts w:hint="eastAsia" w:ascii="仿宋_GB2312" w:hAnsi="仿宋_GB2312" w:eastAsia="仿宋_GB2312" w:cs="仿宋_GB2312"/>
          <w:spacing w:val="-4"/>
          <w:sz w:val="32"/>
          <w:szCs w:val="32"/>
          <w:highlight w:val="none"/>
          <w:lang w:eastAsia="zh-CN"/>
        </w:rPr>
        <w:t>光子产业园位于苏州高新区（虎丘区）科技城，实施范围东至苏台高速-浒东运河、南至太湖大道，西至金墅港路-龙康路、北至通墅路。占地面积约201亩，总建筑面积约26.80万平方米，其中：地上建筑面积24.12万平方米，地下建筑面积2.68万平方米，雨污水管网建设33.60公里，同步实施园区的基础设施建设，包括建设产业园的道路及透水铺装、雨污水管网建设等海绵化措施，以及节能路灯、水系的整治建设。</w:t>
      </w:r>
    </w:p>
    <w:p w14:paraId="52A6A440">
      <w:pPr>
        <w:pStyle w:val="16"/>
        <w:numPr>
          <w:ilvl w:val="0"/>
          <w:numId w:val="2"/>
        </w:numPr>
        <w:ind w:firstLine="624" w:firstLineChars="200"/>
        <w:rPr>
          <w:rFonts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项目建设期</w:t>
      </w:r>
    </w:p>
    <w:p w14:paraId="3FE6681F">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项目预计开工时间为2024年10月，预计完工时间为2028年8月，项目建设期为4年。本项目市政一标开工时间为2024年11月28日，</w:t>
      </w:r>
      <w:r>
        <w:rPr>
          <w:rFonts w:hint="eastAsia" w:ascii="仿宋_GB2312" w:hAnsi="仿宋_GB2312" w:eastAsia="仿宋_GB2312" w:cs="仿宋_GB2312"/>
          <w:spacing w:val="-4"/>
          <w:sz w:val="32"/>
          <w:szCs w:val="32"/>
          <w:lang w:val="en-US" w:eastAsia="zh-CN"/>
        </w:rPr>
        <w:t>竣工日期为2025年12月12日</w:t>
      </w:r>
      <w:r>
        <w:rPr>
          <w:rFonts w:hint="eastAsia" w:ascii="仿宋_GB2312" w:hAnsi="仿宋_GB2312" w:eastAsia="仿宋_GB2312" w:cs="仿宋_GB2312"/>
          <w:spacing w:val="-4"/>
          <w:sz w:val="32"/>
          <w:szCs w:val="32"/>
          <w:lang w:eastAsia="zh-CN"/>
        </w:rPr>
        <w:t>；市政二标开工时间为2024年11月27日，</w:t>
      </w:r>
      <w:r>
        <w:rPr>
          <w:rFonts w:hint="eastAsia" w:ascii="仿宋_GB2312" w:hAnsi="仿宋_GB2312" w:eastAsia="仿宋_GB2312" w:cs="仿宋_GB2312"/>
          <w:spacing w:val="-4"/>
          <w:sz w:val="32"/>
          <w:szCs w:val="32"/>
          <w:lang w:val="en-US" w:eastAsia="zh-CN"/>
        </w:rPr>
        <w:t>竣工日期为2025年12月15日</w:t>
      </w:r>
      <w:r>
        <w:rPr>
          <w:rFonts w:hint="eastAsia" w:ascii="仿宋_GB2312" w:hAnsi="仿宋_GB2312" w:eastAsia="仿宋_GB2312" w:cs="仿宋_GB2312"/>
          <w:spacing w:val="-4"/>
          <w:sz w:val="32"/>
          <w:szCs w:val="32"/>
          <w:lang w:eastAsia="zh-CN"/>
        </w:rPr>
        <w:t>。</w:t>
      </w:r>
    </w:p>
    <w:p w14:paraId="4EC42177">
      <w:pPr>
        <w:pStyle w:val="16"/>
        <w:numPr>
          <w:ilvl w:val="0"/>
          <w:numId w:val="2"/>
        </w:numPr>
        <w:ind w:firstLine="624" w:firstLineChars="200"/>
        <w:rPr>
          <w:rFonts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项目实施方式</w:t>
      </w:r>
    </w:p>
    <w:p w14:paraId="0BC5277B">
      <w:pPr>
        <w:spacing w:line="574" w:lineRule="exact"/>
        <w:ind w:firstLine="624"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pacing w:val="-4"/>
          <w:sz w:val="32"/>
          <w:szCs w:val="32"/>
          <w:lang w:eastAsia="zh-CN"/>
        </w:rPr>
        <w:t>本项目主管部门为苏州科技城管理委员会，建设单位为苏州科技城科技产业发展有限公司。</w:t>
      </w:r>
    </w:p>
    <w:p w14:paraId="7C10B157">
      <w:pPr>
        <w:pStyle w:val="16"/>
        <w:ind w:firstLine="624" w:firstLineChars="200"/>
        <w:rPr>
          <w:rFonts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（4）建成后服务内容</w:t>
      </w:r>
    </w:p>
    <w:p w14:paraId="6FAB3836">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①租赁管理服务：包括管控园区内入驻企业审批机制、定期对已入驻企业进行场所整合、产业动态对接、扶持、宣传等方面。</w:t>
      </w:r>
    </w:p>
    <w:p w14:paraId="271667E2">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②安全保卫服务：主要包括项目总体安全环境的管理；车辆交通及道路管理。</w:t>
      </w:r>
    </w:p>
    <w:p w14:paraId="5046211F">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③设备设施维护服务：包括制定共用设施管理标准，对项目范围内的共用设施等制定相应的管理办法，定期对共用设施设备进行维护保养。</w:t>
      </w:r>
    </w:p>
    <w:p w14:paraId="70FB3B0A">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④环境绿化及保洁服务：主要包括项目建设范围内绿化以及公共设施的日常维护保养工作。</w:t>
      </w:r>
    </w:p>
    <w:p w14:paraId="676C27B0">
      <w:pPr>
        <w:spacing w:line="574" w:lineRule="exact"/>
        <w:ind w:firstLine="627" w:firstLineChars="200"/>
        <w:jc w:val="both"/>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4.资金投入情况</w:t>
      </w:r>
    </w:p>
    <w:p w14:paraId="262A765D">
      <w:pPr>
        <w:spacing w:line="574" w:lineRule="exact"/>
        <w:ind w:firstLine="624" w:firstLineChars="200"/>
        <w:jc w:val="both"/>
        <w:rPr>
          <w:rFonts w:ascii="仿宋_GB2312" w:hAnsi="仿宋_GB2312" w:eastAsia="仿宋_GB2312" w:cs="仿宋_GB2312"/>
          <w:spacing w:val="-4"/>
          <w:sz w:val="32"/>
          <w:szCs w:val="32"/>
          <w:highlight w:val="none"/>
          <w:lang w:eastAsia="zh-CN"/>
        </w:rPr>
      </w:pPr>
      <w:r>
        <w:rPr>
          <w:rFonts w:hint="eastAsia" w:ascii="仿宋_GB2312" w:hAnsi="仿宋_GB2312" w:eastAsia="仿宋_GB2312" w:cs="仿宋_GB2312"/>
          <w:spacing w:val="-4"/>
          <w:sz w:val="32"/>
          <w:szCs w:val="32"/>
          <w:highlight w:val="none"/>
          <w:lang w:eastAsia="zh-CN"/>
        </w:rPr>
        <w:t>根据投资项目备案证及可研报告，本项目总投资260,541.74万元，其中：建设投资250,371.30万元（包含工程费用215,832.55万元，工程建设其他费用22,846.02万元，预备费11,692.73万元），建设期利息10,170.44万元。</w:t>
      </w:r>
    </w:p>
    <w:p w14:paraId="72C3E60A">
      <w:pPr>
        <w:spacing w:line="574" w:lineRule="exact"/>
        <w:ind w:firstLine="624" w:firstLineChars="200"/>
        <w:jc w:val="both"/>
        <w:rPr>
          <w:rFonts w:ascii="仿宋_GB2312" w:hAnsi="仿宋_GB2312" w:eastAsia="仿宋_GB2312" w:cs="仿宋_GB2312"/>
          <w:spacing w:val="-4"/>
          <w:sz w:val="32"/>
          <w:szCs w:val="32"/>
          <w:highlight w:val="none"/>
          <w:lang w:eastAsia="zh-CN"/>
        </w:rPr>
      </w:pPr>
      <w:r>
        <w:rPr>
          <w:rFonts w:hint="eastAsia" w:ascii="仿宋_GB2312" w:hAnsi="仿宋_GB2312" w:eastAsia="仿宋_GB2312" w:cs="仿宋_GB2312"/>
          <w:spacing w:val="-4"/>
          <w:sz w:val="32"/>
          <w:szCs w:val="32"/>
          <w:highlight w:val="none"/>
          <w:lang w:eastAsia="zh-CN"/>
        </w:rPr>
        <w:t>建设资金由财政统筹。其中，项目自有资金100,542.00万元，占总投资比重为38.59%；政府专项债券资金安排160,000.00万元，占总投资比重61.41%。</w:t>
      </w:r>
    </w:p>
    <w:p w14:paraId="4C7CE5B0">
      <w:pPr>
        <w:spacing w:line="574" w:lineRule="exact"/>
        <w:ind w:firstLine="624" w:firstLineChars="200"/>
        <w:jc w:val="both"/>
        <w:rPr>
          <w:rFonts w:hint="eastAsia"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val="en-US" w:eastAsia="zh-CN"/>
        </w:rPr>
        <w:t>2024年，</w:t>
      </w:r>
      <w:r>
        <w:rPr>
          <w:rFonts w:hint="eastAsia" w:ascii="仿宋_GB2312" w:hAnsi="仿宋_GB2312" w:eastAsia="仿宋_GB2312" w:cs="仿宋_GB2312"/>
          <w:spacing w:val="-4"/>
          <w:sz w:val="32"/>
          <w:szCs w:val="32"/>
          <w:lang w:eastAsia="zh-CN"/>
        </w:rPr>
        <w:t>本项目列入2024年江苏省城镇建设专项债券（六期）-2024年江苏省政府专项债券（十六期），专项债发行金额12,000.00万元，发行日期</w:t>
      </w:r>
      <w:r>
        <w:rPr>
          <w:rFonts w:hint="eastAsia" w:ascii="仿宋_GB2312" w:hAnsi="仿宋_GB2312" w:eastAsia="仿宋_GB2312" w:cs="仿宋_GB2312"/>
          <w:spacing w:val="-4"/>
          <w:sz w:val="32"/>
          <w:szCs w:val="32"/>
          <w:lang w:val="en-US" w:eastAsia="zh-CN"/>
        </w:rPr>
        <w:t>为</w:t>
      </w:r>
      <w:r>
        <w:rPr>
          <w:rFonts w:hint="eastAsia" w:ascii="仿宋_GB2312" w:hAnsi="仿宋_GB2312" w:eastAsia="仿宋_GB2312" w:cs="仿宋_GB2312"/>
          <w:spacing w:val="-4"/>
          <w:sz w:val="32"/>
          <w:szCs w:val="32"/>
          <w:lang w:eastAsia="zh-CN"/>
        </w:rPr>
        <w:t>2024年9月26日，发行期限30年，利率2.21%。</w:t>
      </w:r>
      <w:r>
        <w:rPr>
          <w:rFonts w:hint="eastAsia" w:ascii="仿宋_GB2312" w:hAnsi="仿宋_GB2312" w:eastAsia="仿宋_GB2312" w:cs="仿宋_GB2312"/>
          <w:spacing w:val="-4"/>
          <w:sz w:val="32"/>
          <w:szCs w:val="32"/>
          <w:lang w:val="en-US" w:eastAsia="zh-CN"/>
        </w:rPr>
        <w:t>截至</w:t>
      </w:r>
      <w:r>
        <w:rPr>
          <w:rFonts w:hint="eastAsia" w:ascii="仿宋_GB2312" w:hAnsi="仿宋_GB2312" w:eastAsia="仿宋_GB2312" w:cs="仿宋_GB2312"/>
          <w:spacing w:val="-4"/>
          <w:sz w:val="32"/>
          <w:szCs w:val="32"/>
          <w:lang w:eastAsia="zh-CN"/>
        </w:rPr>
        <w:t>2024年12月31日，政府专项债券资金已支付完毕。</w:t>
      </w:r>
    </w:p>
    <w:p w14:paraId="51597F6E">
      <w:pPr>
        <w:spacing w:line="574" w:lineRule="exact"/>
        <w:ind w:firstLine="624" w:firstLineChars="200"/>
        <w:jc w:val="both"/>
        <w:rPr>
          <w:rFonts w:hint="default" w:ascii="仿宋_GB2312" w:hAnsi="仿宋_GB2312" w:eastAsia="仿宋_GB2312" w:cs="仿宋_GB2312"/>
          <w:spacing w:val="-4"/>
          <w:sz w:val="32"/>
          <w:szCs w:val="32"/>
          <w:highlight w:val="none"/>
          <w:lang w:val="en-US" w:eastAsia="zh-CN"/>
        </w:rPr>
      </w:pPr>
      <w:r>
        <w:rPr>
          <w:rFonts w:hint="eastAsia" w:ascii="仿宋_GB2312" w:hAnsi="仿宋_GB2312" w:eastAsia="仿宋_GB2312" w:cs="仿宋_GB2312"/>
          <w:spacing w:val="-4"/>
          <w:sz w:val="32"/>
          <w:szCs w:val="32"/>
          <w:lang w:val="en-US" w:eastAsia="zh-CN"/>
        </w:rPr>
        <w:t>2025年，本项目列入2025年</w:t>
      </w:r>
      <w:r>
        <w:rPr>
          <w:rFonts w:hint="eastAsia" w:ascii="仿宋_GB2312" w:hAnsi="仿宋_GB2312" w:eastAsia="仿宋_GB2312" w:cs="仿宋_GB2312"/>
          <w:spacing w:val="-4"/>
          <w:sz w:val="32"/>
          <w:szCs w:val="32"/>
          <w:lang w:eastAsia="zh-CN"/>
        </w:rPr>
        <w:t>江苏省城镇建设专项债券（</w:t>
      </w:r>
      <w:r>
        <w:rPr>
          <w:rFonts w:hint="eastAsia" w:ascii="仿宋_GB2312" w:hAnsi="仿宋_GB2312" w:eastAsia="仿宋_GB2312" w:cs="仿宋_GB2312"/>
          <w:spacing w:val="-4"/>
          <w:sz w:val="32"/>
          <w:szCs w:val="32"/>
          <w:lang w:val="en-US" w:eastAsia="zh-CN"/>
        </w:rPr>
        <w:t>四期）</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lang w:val="en-US" w:eastAsia="zh-CN"/>
        </w:rPr>
        <w:t>2025年江苏省政府专项债券（八期），专项债发行金额</w:t>
      </w:r>
      <w:r>
        <w:rPr>
          <w:rFonts w:hint="eastAsia" w:ascii="仿宋_GB2312" w:hAnsi="仿宋_GB2312" w:eastAsia="仿宋_GB2312" w:cs="仿宋_GB2312"/>
          <w:spacing w:val="-4"/>
          <w:sz w:val="32"/>
          <w:szCs w:val="32"/>
          <w:highlight w:val="none"/>
          <w:lang w:val="en-US" w:eastAsia="zh-CN"/>
        </w:rPr>
        <w:t>30,000.00万元，发行日期为2025年3月31日，发行期限30年，利率2.07%。当年，政府专项债券资金支出30,000.00万元。</w:t>
      </w:r>
    </w:p>
    <w:p w14:paraId="350C0834">
      <w:pPr>
        <w:spacing w:line="574" w:lineRule="exact"/>
        <w:ind w:firstLine="624" w:firstLineChars="200"/>
        <w:jc w:val="both"/>
        <w:rPr>
          <w:rFonts w:hint="default" w:ascii="仿宋_GB2312" w:hAnsi="仿宋_GB2312" w:eastAsia="仿宋_GB2312" w:cs="仿宋_GB2312"/>
          <w:spacing w:val="-4"/>
          <w:sz w:val="32"/>
          <w:szCs w:val="32"/>
          <w:highlight w:val="none"/>
          <w:lang w:val="en-US" w:eastAsia="zh-CN"/>
        </w:rPr>
      </w:pPr>
      <w:r>
        <w:rPr>
          <w:rFonts w:hint="eastAsia" w:ascii="仿宋_GB2312" w:hAnsi="仿宋_GB2312" w:eastAsia="仿宋_GB2312" w:cs="仿宋_GB2312"/>
          <w:spacing w:val="-4"/>
          <w:sz w:val="32"/>
          <w:szCs w:val="32"/>
          <w:highlight w:val="none"/>
          <w:lang w:val="en-US" w:eastAsia="zh-CN"/>
        </w:rPr>
        <w:t>截至2025年12月31日，</w:t>
      </w:r>
      <w:r>
        <w:rPr>
          <w:rFonts w:hint="eastAsia" w:ascii="仿宋_GB2312" w:hAnsi="仿宋_GB2312" w:eastAsia="仿宋_GB2312" w:cs="仿宋_GB2312"/>
          <w:spacing w:val="-4"/>
          <w:sz w:val="32"/>
          <w:szCs w:val="32"/>
          <w:highlight w:val="none"/>
          <w:lang w:eastAsia="zh-CN"/>
        </w:rPr>
        <w:t>项目</w:t>
      </w:r>
      <w:r>
        <w:rPr>
          <w:rFonts w:hint="eastAsia" w:ascii="仿宋_GB2312" w:hAnsi="仿宋_GB2312" w:eastAsia="仿宋_GB2312" w:cs="仿宋_GB2312"/>
          <w:spacing w:val="-4"/>
          <w:sz w:val="32"/>
          <w:szCs w:val="32"/>
          <w:highlight w:val="none"/>
          <w:lang w:val="en-US" w:eastAsia="zh-CN"/>
        </w:rPr>
        <w:t>累计</w:t>
      </w:r>
      <w:r>
        <w:rPr>
          <w:rFonts w:hint="eastAsia" w:ascii="仿宋_GB2312" w:hAnsi="仿宋_GB2312" w:eastAsia="仿宋_GB2312" w:cs="仿宋_GB2312"/>
          <w:spacing w:val="-4"/>
          <w:sz w:val="32"/>
          <w:szCs w:val="32"/>
          <w:highlight w:val="none"/>
          <w:lang w:eastAsia="zh-CN"/>
        </w:rPr>
        <w:t>投入资金</w:t>
      </w:r>
      <w:r>
        <w:rPr>
          <w:rFonts w:hint="eastAsia" w:ascii="仿宋_GB2312" w:hAnsi="仿宋_GB2312" w:eastAsia="仿宋_GB2312" w:cs="仿宋_GB2312"/>
          <w:spacing w:val="-4"/>
          <w:sz w:val="32"/>
          <w:szCs w:val="32"/>
          <w:highlight w:val="none"/>
          <w:lang w:val="en-US" w:eastAsia="zh-CN"/>
        </w:rPr>
        <w:t>4</w:t>
      </w:r>
      <w:r>
        <w:rPr>
          <w:rFonts w:hint="eastAsia" w:ascii="仿宋_GB2312" w:hAnsi="仿宋_GB2312" w:eastAsia="仿宋_GB2312" w:cs="仿宋_GB2312"/>
          <w:spacing w:val="-4"/>
          <w:sz w:val="32"/>
          <w:szCs w:val="32"/>
          <w:highlight w:val="none"/>
          <w:lang w:eastAsia="zh-CN"/>
        </w:rPr>
        <w:t>2,081.06万元，其中，政府专项债券资金安排</w:t>
      </w:r>
      <w:r>
        <w:rPr>
          <w:rFonts w:hint="eastAsia" w:ascii="仿宋_GB2312" w:hAnsi="仿宋_GB2312" w:eastAsia="仿宋_GB2312" w:cs="仿宋_GB2312"/>
          <w:spacing w:val="-4"/>
          <w:sz w:val="32"/>
          <w:szCs w:val="32"/>
          <w:highlight w:val="none"/>
          <w:lang w:val="en-US" w:eastAsia="zh-CN"/>
        </w:rPr>
        <w:t>4</w:t>
      </w:r>
      <w:r>
        <w:rPr>
          <w:rFonts w:hint="eastAsia" w:ascii="仿宋_GB2312" w:hAnsi="仿宋_GB2312" w:eastAsia="仿宋_GB2312" w:cs="仿宋_GB2312"/>
          <w:spacing w:val="-4"/>
          <w:sz w:val="32"/>
          <w:szCs w:val="32"/>
          <w:highlight w:val="none"/>
          <w:lang w:eastAsia="zh-CN"/>
        </w:rPr>
        <w:t>2,000.00万元，自筹资金81.06万元。</w:t>
      </w:r>
    </w:p>
    <w:p w14:paraId="623CFE97">
      <w:pPr>
        <w:spacing w:line="574" w:lineRule="exact"/>
        <w:ind w:firstLine="627" w:firstLineChars="200"/>
        <w:jc w:val="both"/>
        <w:outlineLvl w:val="1"/>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（二）绩效目标</w:t>
      </w:r>
    </w:p>
    <w:p w14:paraId="6C688595">
      <w:pPr>
        <w:spacing w:line="574" w:lineRule="exact"/>
        <w:ind w:firstLine="627"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b/>
          <w:bCs/>
          <w:spacing w:val="-4"/>
          <w:sz w:val="32"/>
          <w:szCs w:val="32"/>
          <w:lang w:eastAsia="zh-CN"/>
        </w:rPr>
        <w:t>总体目标：</w:t>
      </w:r>
      <w:r>
        <w:rPr>
          <w:rFonts w:hint="eastAsia" w:ascii="仿宋_GB2312" w:hAnsi="仿宋_GB2312" w:eastAsia="仿宋_GB2312" w:cs="仿宋_GB2312"/>
          <w:spacing w:val="-4"/>
          <w:sz w:val="32"/>
          <w:szCs w:val="32"/>
          <w:lang w:eastAsia="zh-CN"/>
        </w:rPr>
        <w:t>项目核心目标在于推动光子技术的产业化进程，加速科技成果转化，促进产业链上下游深度融合，形成具有国际竞争力的光子产业集群。通过构建先进的研发平台、引进和培育一批光子领域的龙头企业与高新技术企业，以及搭建完善的创新服务体系，项目力求在光通信、光电子器件、光电显示、激光技术等领域取得重大突破，为苏州乃至全国的光子产业发展注入强劲动力，引领未来科技潮流。</w:t>
      </w:r>
    </w:p>
    <w:p w14:paraId="2B359A20">
      <w:pPr>
        <w:spacing w:line="574" w:lineRule="exact"/>
        <w:ind w:firstLine="627"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b/>
          <w:bCs/>
          <w:spacing w:val="-4"/>
          <w:sz w:val="32"/>
          <w:szCs w:val="32"/>
          <w:lang w:eastAsia="zh-CN"/>
        </w:rPr>
        <w:t>阶段性目标</w:t>
      </w:r>
      <w:r>
        <w:rPr>
          <w:rFonts w:hint="eastAsia" w:ascii="仿宋_GB2312" w:hAnsi="仿宋_GB2312" w:eastAsia="仿宋_GB2312" w:cs="仿宋_GB2312"/>
          <w:b/>
          <w:bCs/>
          <w:sz w:val="32"/>
          <w:szCs w:val="32"/>
          <w:lang w:eastAsia="zh-CN"/>
        </w:rPr>
        <w:t>（年度目标）</w:t>
      </w:r>
      <w:r>
        <w:rPr>
          <w:rFonts w:hint="eastAsia" w:ascii="仿宋_GB2312" w:hAnsi="仿宋_GB2312" w:eastAsia="仿宋_GB2312" w:cs="仿宋_GB2312"/>
          <w:b/>
          <w:bCs/>
          <w:spacing w:val="-4"/>
          <w:sz w:val="32"/>
          <w:szCs w:val="32"/>
          <w:lang w:eastAsia="zh-CN"/>
        </w:rPr>
        <w:t>：</w:t>
      </w:r>
      <w:r>
        <w:rPr>
          <w:rFonts w:hint="eastAsia" w:ascii="仿宋_GB2312" w:hAnsi="仿宋_GB2312" w:eastAsia="仿宋_GB2312" w:cs="仿宋_GB2312"/>
          <w:b w:val="0"/>
          <w:bCs w:val="0"/>
          <w:spacing w:val="-4"/>
          <w:sz w:val="32"/>
          <w:szCs w:val="32"/>
          <w:lang w:val="en-US" w:eastAsia="zh-CN"/>
        </w:rPr>
        <w:t>完成</w:t>
      </w:r>
      <w:r>
        <w:rPr>
          <w:rFonts w:hint="eastAsia" w:ascii="仿宋_GB2312" w:hAnsi="仿宋_GB2312" w:eastAsia="仿宋_GB2312" w:cs="仿宋_GB2312"/>
          <w:spacing w:val="-4"/>
          <w:sz w:val="32"/>
          <w:szCs w:val="32"/>
          <w:lang w:eastAsia="zh-CN"/>
        </w:rPr>
        <w:t>2条道路通车</w:t>
      </w:r>
      <w:r>
        <w:rPr>
          <w:rFonts w:hint="eastAsia" w:ascii="仿宋_GB2312" w:hAnsi="仿宋_GB2312" w:eastAsia="仿宋_GB2312" w:cs="仿宋_GB2312"/>
          <w:spacing w:val="-4"/>
          <w:sz w:val="32"/>
          <w:szCs w:val="32"/>
          <w:lang w:val="en-US" w:eastAsia="zh-CN"/>
        </w:rPr>
        <w:t>任务</w:t>
      </w:r>
      <w:r>
        <w:rPr>
          <w:rFonts w:hint="eastAsia" w:ascii="仿宋_GB2312" w:hAnsi="仿宋_GB2312" w:eastAsia="仿宋_GB2312" w:cs="仿宋_GB2312"/>
          <w:spacing w:val="-4"/>
          <w:sz w:val="32"/>
          <w:szCs w:val="32"/>
          <w:lang w:eastAsia="zh-CN"/>
        </w:rPr>
        <w:t>，新开工3条道路建设</w:t>
      </w:r>
      <w:r>
        <w:rPr>
          <w:rFonts w:hint="eastAsia" w:ascii="仿宋_GB2312" w:hAnsi="仿宋_GB2312" w:eastAsia="仿宋_GB2312" w:cs="仿宋_GB2312"/>
          <w:spacing w:val="-4"/>
          <w:sz w:val="32"/>
          <w:szCs w:val="32"/>
          <w:lang w:val="en-US" w:eastAsia="zh-CN"/>
        </w:rPr>
        <w:t>项目</w:t>
      </w:r>
      <w:r>
        <w:rPr>
          <w:rFonts w:hint="eastAsia" w:ascii="仿宋_GB2312" w:hAnsi="仿宋_GB2312" w:eastAsia="仿宋_GB2312" w:cs="仿宋_GB2312"/>
          <w:spacing w:val="-4"/>
          <w:sz w:val="32"/>
          <w:szCs w:val="32"/>
          <w:lang w:eastAsia="zh-CN"/>
        </w:rPr>
        <w:t>。</w:t>
      </w:r>
    </w:p>
    <w:p w14:paraId="07524338">
      <w:pPr>
        <w:spacing w:line="574" w:lineRule="exact"/>
        <w:ind w:firstLine="627" w:firstLineChars="200"/>
        <w:jc w:val="both"/>
        <w:outlineLvl w:val="0"/>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二、评价情况</w:t>
      </w:r>
    </w:p>
    <w:p w14:paraId="53FD593E">
      <w:pPr>
        <w:spacing w:line="360" w:lineRule="auto"/>
        <w:ind w:firstLine="627" w:firstLineChars="200"/>
        <w:jc w:val="both"/>
        <w:outlineLvl w:val="1"/>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（一）项目特点分析</w:t>
      </w:r>
    </w:p>
    <w:p w14:paraId="3DD918BF">
      <w:pPr>
        <w:numPr>
          <w:ilvl w:val="0"/>
          <w:numId w:val="3"/>
        </w:numPr>
        <w:spacing w:line="360" w:lineRule="auto"/>
        <w:ind w:firstLine="627" w:firstLineChars="200"/>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投资规模大且建设周期长</w:t>
      </w:r>
    </w:p>
    <w:p w14:paraId="4B1B43E8">
      <w:pPr>
        <w:spacing w:line="360" w:lineRule="auto"/>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项目总投资达260,541.74万元，建设期为4年，从筹备到竣工验收交付使用涉及大量资金与时间投入，需合理规划资金与进度安排，确保项目顺利推进。</w:t>
      </w:r>
    </w:p>
    <w:p w14:paraId="6A5F8755">
      <w:pPr>
        <w:pStyle w:val="16"/>
        <w:numPr>
          <w:ilvl w:val="0"/>
          <w:numId w:val="3"/>
        </w:numPr>
        <w:spacing w:line="360" w:lineRule="auto"/>
        <w:ind w:firstLine="627" w:firstLineChars="200"/>
        <w:rPr>
          <w:rFonts w:ascii="仿宋_GB2312" w:hAnsi="仿宋_GB2312" w:eastAsia="仿宋_GB2312" w:cs="仿宋_GB2312"/>
          <w:b/>
          <w:bCs/>
          <w:spacing w:val="-4"/>
          <w:sz w:val="32"/>
          <w:szCs w:val="32"/>
        </w:rPr>
      </w:pPr>
      <w:r>
        <w:rPr>
          <w:rFonts w:hint="eastAsia" w:ascii="仿宋_GB2312" w:hAnsi="仿宋_GB2312" w:eastAsia="仿宋_GB2312" w:cs="仿宋_GB2312"/>
          <w:b/>
          <w:bCs/>
          <w:spacing w:val="-4"/>
          <w:sz w:val="32"/>
          <w:szCs w:val="32"/>
        </w:rPr>
        <w:t>产业带动性强</w:t>
      </w:r>
    </w:p>
    <w:p w14:paraId="1AAAFF95">
      <w:pPr>
        <w:spacing w:line="360" w:lineRule="auto"/>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作为光子产业发展的关键项目，致力于推动光子技术在多领域应用，吸引优质企业和研发机构入驻，形成产业集聚效应。通过构建全链条创新生态体系，加速科技成果转化，推动区域内相关产业升级，如智能制造、信息通信、医疗健康等，对区域经济结构优化和创新能力提升意义重大。</w:t>
      </w:r>
    </w:p>
    <w:p w14:paraId="57C635B7">
      <w:pPr>
        <w:pStyle w:val="16"/>
        <w:numPr>
          <w:ilvl w:val="0"/>
          <w:numId w:val="3"/>
        </w:numPr>
        <w:ind w:firstLine="627" w:firstLineChars="200"/>
        <w:rPr>
          <w:rFonts w:ascii="仿宋_GB2312" w:hAnsi="仿宋_GB2312" w:eastAsia="仿宋_GB2312" w:cs="仿宋_GB2312"/>
          <w:b/>
          <w:bCs/>
          <w:spacing w:val="-4"/>
          <w:sz w:val="32"/>
          <w:szCs w:val="32"/>
        </w:rPr>
      </w:pPr>
      <w:r>
        <w:rPr>
          <w:rFonts w:hint="eastAsia" w:ascii="仿宋_GB2312" w:hAnsi="仿宋_GB2312" w:eastAsia="仿宋_GB2312" w:cs="仿宋_GB2312"/>
          <w:b/>
          <w:bCs/>
          <w:spacing w:val="-4"/>
          <w:sz w:val="32"/>
          <w:szCs w:val="32"/>
        </w:rPr>
        <w:t>政策支持力度大</w:t>
      </w:r>
    </w:p>
    <w:p w14:paraId="2E92DC88">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项目契合国家、省、市多项政策规划，是落实相关科技创新和产业发展政策的重要举措。从国家层面的创新驱动发展战略，到地方的产业扶持政策，都为项目建设提供了坚实政策保障和发展机遇。</w:t>
      </w:r>
    </w:p>
    <w:p w14:paraId="307918BC">
      <w:pPr>
        <w:numPr>
          <w:ilvl w:val="0"/>
          <w:numId w:val="3"/>
        </w:numPr>
        <w:spacing w:line="574" w:lineRule="exact"/>
        <w:ind w:firstLine="627" w:firstLineChars="200"/>
        <w:jc w:val="both"/>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资源要素保障充分</w:t>
      </w:r>
    </w:p>
    <w:p w14:paraId="048C5579">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项目选址苏州高新区科技城，地理位置优越，交通便利，周边基础设施完善，水电气供应充足。土地利用符合规划要求，资源环境要素保障到位，如雨水收集利用、建筑节能设计等，为项目可持续发展奠定基础。</w:t>
      </w:r>
    </w:p>
    <w:p w14:paraId="4CB1A0DE">
      <w:pPr>
        <w:spacing w:line="574" w:lineRule="exact"/>
        <w:ind w:firstLine="627" w:firstLineChars="200"/>
        <w:jc w:val="both"/>
        <w:outlineLvl w:val="1"/>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pacing w:val="-4"/>
          <w:sz w:val="32"/>
          <w:szCs w:val="32"/>
          <w:lang w:eastAsia="zh-CN"/>
        </w:rPr>
        <w:t>（二）评价思路方法</w:t>
      </w:r>
    </w:p>
    <w:p w14:paraId="428AAD23">
      <w:pPr>
        <w:spacing w:line="574"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（1）评价重点</w:t>
      </w:r>
    </w:p>
    <w:p w14:paraId="797CFAAC">
      <w:pPr>
        <w:pStyle w:val="16"/>
        <w:spacing w:line="360" w:lineRule="auto"/>
        <w:ind w:firstLine="624" w:firstLineChars="200"/>
        <w:rPr>
          <w:rFonts w:ascii="仿宋_GB2312" w:hAnsi="仿宋_GB2312" w:eastAsia="仿宋_GB2312" w:cs="仿宋_GB2312"/>
          <w:spacing w:val="-4"/>
          <w:sz w:val="32"/>
          <w:szCs w:val="32"/>
        </w:rPr>
      </w:pPr>
      <w:r>
        <w:rPr>
          <w:rFonts w:hint="eastAsia" w:ascii="仿宋_GB2312" w:hAnsi="仿宋_GB2312" w:eastAsia="仿宋_GB2312" w:cs="仿宋_GB2312"/>
          <w:spacing w:val="-4"/>
          <w:sz w:val="32"/>
          <w:szCs w:val="32"/>
        </w:rPr>
        <w:t>资金管理方面：项目资金规模大，评价时重点关注资金筹集是否及时足额到位，资金使用是否合规、合理，有无浪费和挪用现象。尤其对于专项债资金，需审查其使用是否符合规定用途，资金分配是否科学，能否保障项目建设和运营需求。</w:t>
      </w:r>
    </w:p>
    <w:p w14:paraId="78082E80">
      <w:pPr>
        <w:spacing w:line="360" w:lineRule="auto"/>
        <w:ind w:firstLine="624" w:firstLineChars="200"/>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项目进度方面：鉴于项目建设周期长，需对项目各阶段进度进行评估。对比计划进度和实际进度，分析进度偏差原因，如是否因天气、地质条件或管理问题导致延误，是否有合理应对措施保证项目按时完工。</w:t>
      </w:r>
    </w:p>
    <w:p w14:paraId="131F58CE">
      <w:pPr>
        <w:spacing w:line="360" w:lineRule="auto"/>
        <w:ind w:firstLine="624" w:firstLineChars="200"/>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项目管理方面：项目变更是否严格遵循审批流程，所有变更事项是否有书面申请并经相关主管部门依据法规、政策及项目立项规定审批通过；变更内容是否基于项目实际需求，不偏离整体目标和功能定位，且符合行业技术标准规范；合同签订、履行和变更是否合规，合同条款是否明确关键内容，履行中有无违约，变更手续是否完备；项目变更及过程管理相关档案资料是否完整、准确、规范地记录了变更申请、审批、实施以及合同相关信息，并按规定分类、归档和保管，以此确保项目变更等过程管理合法合规，保障项目顺利推进。</w:t>
      </w:r>
    </w:p>
    <w:p w14:paraId="73FF0B0F">
      <w:pPr>
        <w:numPr>
          <w:ilvl w:val="0"/>
          <w:numId w:val="4"/>
        </w:num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评价原则</w:t>
      </w:r>
    </w:p>
    <w:p w14:paraId="094DB252">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根据《关于印发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4"/>
          <w:sz w:val="32"/>
          <w:szCs w:val="32"/>
          <w:lang w:eastAsia="zh-CN"/>
        </w:rPr>
        <w:t>地方政府专项债券项目资金绩效管理办法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pacing w:val="-4"/>
          <w:sz w:val="32"/>
          <w:szCs w:val="32"/>
          <w:lang w:eastAsia="zh-CN"/>
        </w:rPr>
        <w:t>的通知》（财预</w:t>
      </w:r>
      <w:r>
        <w:rPr>
          <w:rFonts w:hint="eastAsia" w:ascii="仿宋_GB2312" w:hAnsi="仿宋_GB2312" w:eastAsia="仿宋_GB2312" w:cs="仿宋_GB2312"/>
          <w:kern w:val="2"/>
          <w:sz w:val="32"/>
          <w:szCs w:val="32"/>
          <w:lang w:eastAsia="zh-CN"/>
        </w:rPr>
        <w:t>〔2021〕</w:t>
      </w:r>
      <w:r>
        <w:rPr>
          <w:rFonts w:hint="eastAsia" w:ascii="仿宋_GB2312" w:hAnsi="仿宋_GB2312" w:eastAsia="仿宋_GB2312" w:cs="仿宋_GB2312"/>
          <w:spacing w:val="-4"/>
          <w:sz w:val="32"/>
          <w:szCs w:val="32"/>
          <w:lang w:eastAsia="zh-CN"/>
        </w:rPr>
        <w:t>61号）要求，专项债绩效管理遵循以下基本原则：</w:t>
      </w:r>
    </w:p>
    <w:p w14:paraId="4B4C49E2">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①科学规范。专项债券项目资金绩效实行全生命周期管理。坚持“举债必问效、无效必问责”，遵循项目支出绩效管理的基本要求，注重融资收益平衡与偿债风险。建立规范的工作流程和指标体系，推动绩效管理工作有序开展。</w:t>
      </w:r>
    </w:p>
    <w:p w14:paraId="40CCAEFC">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②协同配合。各级财政部门牵头组织专项债券项目资金绩效管理工作，督促指导项目主管部门和项目单位具体实施各项管理工作。上级财政部门加强工作指导和检查。</w:t>
      </w:r>
    </w:p>
    <w:p w14:paraId="24BD23A1">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③公开透明。绩效信息是专项债券项目信息的重要组成部分，应当依法依规公开，自觉接受社会监督，通过公开推动提高专项债券资金使用绩效。</w:t>
      </w:r>
    </w:p>
    <w:p w14:paraId="060F8DE7">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④强化运用。突出绩效管理结果的激励约束作用，将专项债券项目资金绩效管理结果作为专项债券额度分配的重要测算因素，并与有关管理措施和政策试点等挂钩。</w:t>
      </w:r>
    </w:p>
    <w:p w14:paraId="5252DDF7">
      <w:pPr>
        <w:numPr>
          <w:ilvl w:val="0"/>
          <w:numId w:val="4"/>
        </w:num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评价依据</w:t>
      </w:r>
    </w:p>
    <w:p w14:paraId="1D5E9DDE">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①《财政部关于印发〈地方政府专项债券项目资金绩效管理办法〉的通知》（财预〔2021〕61号）</w:t>
      </w:r>
    </w:p>
    <w:p w14:paraId="41C46CD1">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②《转发财政部关于印发&lt;地方政府专项债券项目资金绩效管理办法&gt;的通知》（苏财办〔2021〕46号）</w:t>
      </w:r>
    </w:p>
    <w:p w14:paraId="7B19DD3B">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③《中共苏州市委 苏州市人民政府关于全面落实绩效管理的实施意见》（苏委发〔2019〕36号）</w:t>
      </w:r>
    </w:p>
    <w:p w14:paraId="2DC07D67">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④《苏州高新区政府专项债券项目资金绩效管理暂行办法》（苏高新财〔2022〕72号）</w:t>
      </w:r>
    </w:p>
    <w:p w14:paraId="76872B0B">
      <w:pPr>
        <w:numPr>
          <w:ilvl w:val="0"/>
          <w:numId w:val="4"/>
        </w:num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评价方法</w:t>
      </w:r>
    </w:p>
    <w:p w14:paraId="5E194EAF">
      <w:pPr>
        <w:spacing w:line="574" w:lineRule="exact"/>
        <w:ind w:firstLine="624" w:firstLineChars="200"/>
        <w:jc w:val="both"/>
        <w:rPr>
          <w:rFonts w:ascii="仿宋_GB2312" w:hAnsi="仿宋_GB2312" w:eastAsia="仿宋_GB2312" w:cs="仿宋_GB2312"/>
          <w:spacing w:val="-4"/>
          <w:sz w:val="32"/>
          <w:szCs w:val="32"/>
          <w:lang w:eastAsia="zh-CN"/>
        </w:rPr>
      </w:pPr>
      <w:r>
        <w:rPr>
          <w:rFonts w:hint="eastAsia" w:ascii="仿宋_GB2312" w:hAnsi="仿宋_GB2312" w:eastAsia="仿宋_GB2312" w:cs="仿宋_GB2312"/>
          <w:spacing w:val="-4"/>
          <w:sz w:val="32"/>
          <w:szCs w:val="32"/>
          <w:lang w:eastAsia="zh-CN"/>
        </w:rPr>
        <w:t>本项目运用比较法、因素分析法和公众评判法进行绩效评价，通过多因素分析来支撑评价的逻辑紧密性与客观性。以定量优先、定量与定性相结合的方式，遵循科学规范、统一管理、绩效相关的基本原则。</w:t>
      </w:r>
    </w:p>
    <w:p w14:paraId="7091F176">
      <w:pPr>
        <w:spacing w:line="574" w:lineRule="exact"/>
        <w:ind w:firstLine="643" w:firstLineChars="200"/>
        <w:jc w:val="both"/>
        <w:outlineLvl w:val="1"/>
        <w:rPr>
          <w:rFonts w:ascii="仿宋_GB2312" w:hAnsi="仿宋_GB2312" w:eastAsia="仿宋_GB2312" w:cs="仿宋_GB2312"/>
          <w:b/>
          <w:bCs/>
          <w:spacing w:val="-4"/>
          <w:sz w:val="32"/>
          <w:szCs w:val="32"/>
          <w:lang w:eastAsia="zh-CN"/>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pacing w:val="-4"/>
          <w:sz w:val="32"/>
          <w:szCs w:val="32"/>
          <w:lang w:eastAsia="zh-CN"/>
        </w:rPr>
        <w:t>评价工作情况</w:t>
      </w:r>
    </w:p>
    <w:p w14:paraId="5746D2BB">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前期安排</w:t>
      </w:r>
    </w:p>
    <w:p w14:paraId="76847737">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根据省市两级文件要求，为做好苏州高新区光子产业园融合发展项目支出绩效自评工作，我单位进行了充分的前期准备工作，成立了绩效自评工作小组，结合本单位实际</w:t>
      </w:r>
      <w:r>
        <w:rPr>
          <w:rFonts w:hint="eastAsia" w:ascii="仿宋_GB2312" w:hAnsi="仿宋_GB2312" w:eastAsia="仿宋_GB2312" w:cs="仿宋_GB2312"/>
          <w:sz w:val="32"/>
          <w:szCs w:val="32"/>
          <w:lang w:val="en-US" w:eastAsia="zh-CN"/>
        </w:rPr>
        <w:t>制定</w:t>
      </w:r>
      <w:r>
        <w:rPr>
          <w:rFonts w:hint="eastAsia" w:ascii="仿宋_GB2312" w:hAnsi="仿宋_GB2312" w:eastAsia="仿宋_GB2312" w:cs="仿宋_GB2312"/>
          <w:sz w:val="32"/>
          <w:szCs w:val="32"/>
          <w:lang w:eastAsia="zh-CN"/>
        </w:rPr>
        <w:t>了评价指标体系，对年度重点任务细化、量化出过程、产出、效益及满意度指标。</w:t>
      </w:r>
    </w:p>
    <w:p w14:paraId="1495299D">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组织实施</w:t>
      </w:r>
    </w:p>
    <w:p w14:paraId="21339CBD">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评工作小组本着客观、公正、科学的原则，对照项目支出绩效评价指标表，通过基础数据、原始资料、会计报表、工程过程性资料审核自查，对资金管理、组织实施、项目产出、项目效益情况等进行了全面绩效自评，在自评过程中发现问题，查找原因，及时纠正偏差，为下一步工作夯实基础。保证了绩效自评工作真实性、准确性和完整性。</w:t>
      </w:r>
    </w:p>
    <w:p w14:paraId="122647C2">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评工作小组组织专人对项目支出情况进行检查，查阅了报表、账簿，对资金收支执行情况进行了核实。结合《转发财政部关于印发〈地方政府专项债券项目资金绩效管理办法〉的通知》（苏财办〔2021〕46号）文件要求进行具体绩效指标设计和自评。审阅了项目申请资料、资金管理资料、项目绩效资料等，并按照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年拟定的绩效评价指标体系，填报项目支出绩效评价的指标完成值。</w:t>
      </w:r>
    </w:p>
    <w:p w14:paraId="12C201EC">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分析评价</w:t>
      </w:r>
    </w:p>
    <w:p w14:paraId="05D9D2CD">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自评工作小组成员对所收集的资料进行了审查核实。对各项管理工作、投入与产出进行对比，分析资金管理、组织实施、产出及效益等。通过反复交流沟通核实，按照文件要求编制项目绩效自评报告。</w:t>
      </w:r>
    </w:p>
    <w:p w14:paraId="7DAB9EB9">
      <w:pPr>
        <w:spacing w:line="574" w:lineRule="exact"/>
        <w:ind w:left="440" w:leftChars="200"/>
        <w:jc w:val="both"/>
        <w:outlineLvl w:val="1"/>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（四）绩效评价结论</w:t>
      </w:r>
    </w:p>
    <w:p w14:paraId="75174FCB">
      <w:pPr>
        <w:spacing w:line="574" w:lineRule="exact"/>
        <w:ind w:firstLine="640" w:firstLineChars="200"/>
        <w:jc w:val="both"/>
        <w:rPr>
          <w:rFonts w:ascii="仿宋_GB2312" w:hAnsi="仿宋_GB2312" w:eastAsia="仿宋_GB2312" w:cs="仿宋_GB2312"/>
          <w:b w:val="0"/>
          <w:bCs w:val="0"/>
          <w:sz w:val="32"/>
          <w:szCs w:val="32"/>
          <w:highlight w:val="yellow"/>
          <w:lang w:eastAsia="zh-CN"/>
        </w:rPr>
      </w:pPr>
      <w:r>
        <w:rPr>
          <w:rFonts w:hint="eastAsia" w:ascii="仿宋_GB2312" w:hAnsi="仿宋_GB2312" w:eastAsia="仿宋_GB2312" w:cs="仿宋_GB2312"/>
          <w:sz w:val="32"/>
          <w:szCs w:val="32"/>
          <w:lang w:eastAsia="zh-CN"/>
        </w:rPr>
        <w:t>本项目从立项到建设的全过程均严格按照各项管理制度有序</w:t>
      </w:r>
      <w:r>
        <w:rPr>
          <w:rFonts w:hint="eastAsia" w:ascii="仿宋_GB2312" w:hAnsi="仿宋_GB2312" w:eastAsia="仿宋_GB2312" w:cs="仿宋_GB2312"/>
          <w:sz w:val="32"/>
          <w:szCs w:val="32"/>
          <w:highlight w:val="none"/>
          <w:lang w:eastAsia="zh-CN"/>
        </w:rPr>
        <w:t>推进，项目建设规范有序。该项目考核评价分值100分，</w:t>
      </w:r>
      <w:r>
        <w:rPr>
          <w:rFonts w:hint="eastAsia" w:ascii="仿宋_GB2312" w:hAnsi="仿宋_GB2312" w:eastAsia="仿宋_GB2312" w:cs="仿宋_GB2312"/>
          <w:b w:val="0"/>
          <w:bCs w:val="0"/>
          <w:sz w:val="32"/>
          <w:szCs w:val="32"/>
          <w:highlight w:val="none"/>
          <w:lang w:eastAsia="zh-CN"/>
        </w:rPr>
        <w:t>自评分值为</w:t>
      </w:r>
      <w:r>
        <w:rPr>
          <w:rFonts w:hint="eastAsia" w:ascii="仿宋_GB2312" w:hAnsi="仿宋_GB2312" w:eastAsia="仿宋_GB2312" w:cs="仿宋_GB2312"/>
          <w:b w:val="0"/>
          <w:bCs w:val="0"/>
          <w:sz w:val="32"/>
          <w:szCs w:val="32"/>
          <w:highlight w:val="none"/>
          <w:lang w:val="en-US" w:eastAsia="zh-CN"/>
        </w:rPr>
        <w:t>91.3</w:t>
      </w:r>
      <w:r>
        <w:rPr>
          <w:rFonts w:hint="eastAsia" w:ascii="仿宋_GB2312" w:hAnsi="仿宋_GB2312" w:eastAsia="仿宋_GB2312" w:cs="仿宋_GB2312"/>
          <w:b w:val="0"/>
          <w:bCs w:val="0"/>
          <w:sz w:val="32"/>
          <w:szCs w:val="32"/>
          <w:highlight w:val="none"/>
          <w:lang w:eastAsia="zh-CN"/>
        </w:rPr>
        <w:t>分，绩效等级为</w:t>
      </w:r>
      <w:r>
        <w:rPr>
          <w:rFonts w:hint="eastAsia" w:ascii="仿宋_GB2312" w:hAnsi="仿宋_GB2312" w:eastAsia="仿宋_GB2312" w:cs="仿宋_GB2312"/>
          <w:b w:val="0"/>
          <w:bCs w:val="0"/>
          <w:sz w:val="32"/>
          <w:szCs w:val="32"/>
          <w:highlight w:val="none"/>
          <w:lang w:val="en-US" w:eastAsia="zh-CN"/>
        </w:rPr>
        <w:t>优秀</w:t>
      </w:r>
      <w:r>
        <w:rPr>
          <w:rFonts w:hint="eastAsia" w:ascii="仿宋_GB2312" w:hAnsi="仿宋_GB2312" w:eastAsia="仿宋_GB2312" w:cs="仿宋_GB2312"/>
          <w:b w:val="0"/>
          <w:bCs w:val="0"/>
          <w:sz w:val="32"/>
          <w:szCs w:val="32"/>
          <w:highlight w:val="none"/>
          <w:lang w:eastAsia="zh-CN"/>
        </w:rPr>
        <w:t>。</w:t>
      </w:r>
    </w:p>
    <w:p w14:paraId="50543555">
      <w:pPr>
        <w:numPr>
          <w:ilvl w:val="0"/>
          <w:numId w:val="5"/>
        </w:numPr>
        <w:spacing w:line="360" w:lineRule="auto"/>
        <w:ind w:firstLine="643" w:firstLineChars="200"/>
        <w:jc w:val="both"/>
        <w:outlineLvl w:val="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项目绩效</w:t>
      </w:r>
    </w:p>
    <w:p w14:paraId="6D3BBFA3">
      <w:pPr>
        <w:numPr>
          <w:ilvl w:val="0"/>
          <w:numId w:val="6"/>
        </w:numPr>
        <w:spacing w:line="574" w:lineRule="exact"/>
        <w:ind w:firstLine="643" w:firstLineChars="200"/>
        <w:jc w:val="both"/>
        <w:outlineLvl w:val="1"/>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经验做法</w:t>
      </w:r>
    </w:p>
    <w:p w14:paraId="5926E479">
      <w:pPr>
        <w:autoSpaceDE w:val="0"/>
        <w:autoSpaceDN w:val="0"/>
        <w:adjustRightInd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苏州高新区光子产业园融合发展项目市政一标和二标在施工过程中，围绕进度、质量、安全、效益等方面积累经验，形成有效做法。一是施工进度方面，一标主线顺利通车，东、西侧慢车道及人行道结构层大面积完成；二标秦岭路—青城山路、青城山路—太湖大道段基本完成。二是工程质量方面，构建严格质量管控体系，实行原材料进场“必检制”，一标、二标材料验收超200次且无不合格材料进场；严格执行“三检制”、首件工程认可制和技术交底制度，全年分项及分部工程验收合格率100%，总体质量良好。三是安全文明施工方面，明确“零事故”安全目标，完善安全保证体系，专职安全管理人员配备到位，“三级”安全教育覆盖率100%，无重大安全事故和环保事件发生。四是资金与效益方面，2025年应付债券利息全部足额缴纳，利息支付率100%，有效保障项目资金链安全，实现经济、社会、生态效益协同提升。</w:t>
      </w:r>
    </w:p>
    <w:p w14:paraId="28103831">
      <w:pPr>
        <w:numPr>
          <w:ilvl w:val="0"/>
          <w:numId w:val="6"/>
        </w:numPr>
        <w:spacing w:line="574" w:lineRule="exact"/>
        <w:ind w:firstLine="643" w:firstLineChars="200"/>
        <w:jc w:val="both"/>
        <w:outlineLvl w:val="1"/>
        <w:rPr>
          <w:rFonts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取得绩效</w:t>
      </w:r>
    </w:p>
    <w:p w14:paraId="64822E52">
      <w:pPr>
        <w:spacing w:line="574" w:lineRule="exact"/>
        <w:ind w:firstLine="643" w:firstLineChars="200"/>
        <w:jc w:val="both"/>
        <w:outlineLvl w:val="1"/>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1.过程指标</w:t>
      </w:r>
    </w:p>
    <w:p w14:paraId="70EF7099">
      <w:pPr>
        <w:spacing w:line="574"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（1）资金到位率：目标值100%，实际完成值100%。依据《2024年江苏省政府专项债券（十二至十六期）信息披露文件》、银行回单。资金到位率=（实际到位资金/债券发行额度）=3/3=100%。</w:t>
      </w:r>
      <w:r>
        <w:rPr>
          <w:rFonts w:hint="eastAsia" w:ascii="仿宋_GB2312" w:hAnsi="仿宋_GB2312" w:eastAsia="仿宋_GB2312" w:cs="仿宋_GB2312"/>
          <w:sz w:val="32"/>
          <w:szCs w:val="32"/>
          <w:lang w:val="en-US" w:eastAsia="zh-CN"/>
        </w:rPr>
        <w:t>得分为6*100%=6分。</w:t>
      </w:r>
    </w:p>
    <w:p w14:paraId="0B206AC1">
      <w:pPr>
        <w:numPr>
          <w:ilvl w:val="0"/>
          <w:numId w:val="7"/>
        </w:numPr>
        <w:spacing w:line="574"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资金使用合规性：目标值合规，实际完成值合规。依据资金支付流水明细、发票、银行回单、银行存款明细账、《关于苏州高新区光子产业园融合发展项目政府债券项目资金监管协议》、银行监管户明细账、建行明细账、《苏州高新区光子产业园融合发展项目地方政府专项债券资金事项备忘协议》。本项目资金使用合规。</w:t>
      </w:r>
      <w:r>
        <w:rPr>
          <w:rFonts w:hint="eastAsia" w:ascii="仿宋_GB2312" w:hAnsi="仿宋_GB2312" w:eastAsia="仿宋_GB2312" w:cs="仿宋_GB2312"/>
          <w:sz w:val="32"/>
          <w:szCs w:val="32"/>
          <w:lang w:val="en-US" w:eastAsia="zh-CN"/>
        </w:rPr>
        <w:t>得分为6*100%=6分。</w:t>
      </w:r>
    </w:p>
    <w:p w14:paraId="58B6A027">
      <w:pPr>
        <w:numPr>
          <w:ilvl w:val="0"/>
          <w:numId w:val="7"/>
        </w:numPr>
        <w:spacing w:line="574" w:lineRule="exact"/>
        <w:ind w:left="0" w:leftChars="0"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资金执行率：目标值100%，实际完成值</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lang w:eastAsia="zh-CN"/>
        </w:rPr>
        <w:t>%。依据《关于苏州高新区光子产业园融合发展项目政府债券项目资金监管协议》、《2025年江苏省政府专项债券（二至八期）信息披露文件》、银行回单、银行监管户明细账、建行明细账、财务明细账。2025年产业发展公司账面支出共计30</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000</w:t>
      </w:r>
      <w:r>
        <w:rPr>
          <w:rFonts w:hint="eastAsia" w:ascii="仿宋_GB2312" w:hAnsi="仿宋_GB2312" w:eastAsia="仿宋_GB2312" w:cs="仿宋_GB2312"/>
          <w:sz w:val="32"/>
          <w:szCs w:val="32"/>
          <w:highlight w:val="none"/>
          <w:lang w:val="en-US" w:eastAsia="zh-CN"/>
        </w:rPr>
        <w:t>.00</w:t>
      </w:r>
      <w:r>
        <w:rPr>
          <w:rFonts w:hint="eastAsia" w:ascii="仿宋_GB2312" w:hAnsi="仿宋_GB2312" w:eastAsia="仿宋_GB2312" w:cs="仿宋_GB2312"/>
          <w:sz w:val="32"/>
          <w:szCs w:val="32"/>
          <w:highlight w:val="none"/>
          <w:lang w:eastAsia="zh-CN"/>
        </w:rPr>
        <w:t>万元，资金执行率30000/30000=</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lang w:val="en-US" w:eastAsia="zh-CN"/>
        </w:rPr>
        <w:t>得分为6*100%=6分。</w:t>
      </w:r>
    </w:p>
    <w:p w14:paraId="2D602E7E">
      <w:pPr>
        <w:spacing w:line="574"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4）管理制度健全性：目标值合规，实际完成值健全。依据业务制度：《层转财政部关于印发〈政府采购需求管理办法〉的通知》（苏高新财〔2021〕102号）、《关于修订〈苏州科技城政府采购内部控制制度〉的通知》（苏科管〔2021〕47号）、《关于修订〈苏州科技城建设工程变更管理办法〉的通知》（苏科管〔2021〕49号）等。财务制度：参照《苏州高新区政府专项债券项目资金绩效管理暂行办法》（苏高新财〔2022〕72号）、《管委会（区政府）关于印发苏州高新区镇级债务分类管理实施方案的通知》（苏高新管〔2019〕143号）、《区党政办关于印发苏州高新区政府投资非经营性工程项目集中建设资金管理办法的通知》（苏高新办〔2022〕145号）。本项目管理制度健全。</w:t>
      </w:r>
      <w:r>
        <w:rPr>
          <w:rFonts w:hint="eastAsia" w:ascii="仿宋_GB2312" w:hAnsi="仿宋_GB2312" w:eastAsia="仿宋_GB2312" w:cs="仿宋_GB2312"/>
          <w:sz w:val="32"/>
          <w:szCs w:val="32"/>
          <w:lang w:val="en-US" w:eastAsia="zh-CN"/>
        </w:rPr>
        <w:t>得分为6*100%=6分。</w:t>
      </w:r>
    </w:p>
    <w:p w14:paraId="4FD5950B">
      <w:pPr>
        <w:spacing w:line="574" w:lineRule="exact"/>
        <w:ind w:firstLine="640" w:firstLineChars="200"/>
        <w:jc w:val="both"/>
        <w:rPr>
          <w:rFonts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（5）制度执行有效性：目标值有效，实际完成值</w:t>
      </w:r>
      <w:r>
        <w:rPr>
          <w:rFonts w:hint="eastAsia" w:ascii="仿宋_GB2312" w:hAnsi="仿宋_GB2312" w:eastAsia="仿宋_GB2312" w:cs="仿宋_GB2312"/>
          <w:sz w:val="32"/>
          <w:szCs w:val="32"/>
          <w:highlight w:val="none"/>
          <w:lang w:val="en-US" w:eastAsia="zh-CN"/>
        </w:rPr>
        <w:t>较</w:t>
      </w:r>
      <w:r>
        <w:rPr>
          <w:rFonts w:hint="eastAsia" w:ascii="仿宋_GB2312" w:hAnsi="仿宋_GB2312" w:eastAsia="仿宋_GB2312" w:cs="仿宋_GB2312"/>
          <w:sz w:val="32"/>
          <w:szCs w:val="32"/>
          <w:highlight w:val="none"/>
          <w:lang w:eastAsia="zh-CN"/>
        </w:rPr>
        <w:t>有效。依据监理通知单、监理通知回复单、建设工程施工环境问题整改完成报告书、施工方案报审表、施工进度计划报审表、施工日志、安全日志、工程质量报验表、阶段性工作总结、合同、银行回单。档案资料不完整，未存档项目概算批复、概算书，</w:t>
      </w:r>
      <w:r>
        <w:rPr>
          <w:rFonts w:hint="eastAsia" w:ascii="仿宋_GB2312" w:hAnsi="仿宋_GB2312" w:eastAsia="仿宋_GB2312" w:cs="仿宋_GB2312"/>
          <w:sz w:val="32"/>
          <w:szCs w:val="32"/>
          <w:highlight w:val="none"/>
          <w:lang w:val="en-US" w:eastAsia="zh-CN"/>
        </w:rPr>
        <w:t>无道路通车备案资料</w:t>
      </w:r>
      <w:r>
        <w:rPr>
          <w:rFonts w:hint="eastAsia" w:ascii="仿宋_GB2312" w:hAnsi="仿宋_GB2312" w:eastAsia="仿宋_GB2312" w:cs="仿宋_GB2312"/>
          <w:sz w:val="32"/>
          <w:szCs w:val="32"/>
          <w:highlight w:val="none"/>
          <w:lang w:eastAsia="zh-CN"/>
        </w:rPr>
        <w:t>，得</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0%权重分，得分为6*</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0%=</w:t>
      </w:r>
      <w:r>
        <w:rPr>
          <w:rFonts w:hint="eastAsia" w:ascii="仿宋_GB2312" w:hAnsi="仿宋_GB2312" w:eastAsia="仿宋_GB2312" w:cs="仿宋_GB2312"/>
          <w:sz w:val="32"/>
          <w:szCs w:val="32"/>
          <w:highlight w:val="none"/>
          <w:lang w:val="en-US" w:eastAsia="zh-CN"/>
        </w:rPr>
        <w:t>4.8</w:t>
      </w:r>
      <w:r>
        <w:rPr>
          <w:rFonts w:hint="eastAsia" w:ascii="仿宋_GB2312" w:hAnsi="仿宋_GB2312" w:eastAsia="仿宋_GB2312" w:cs="仿宋_GB2312"/>
          <w:sz w:val="32"/>
          <w:szCs w:val="32"/>
          <w:highlight w:val="none"/>
          <w:lang w:eastAsia="zh-CN"/>
        </w:rPr>
        <w:t>分。</w:t>
      </w:r>
    </w:p>
    <w:p w14:paraId="45B18C91">
      <w:pPr>
        <w:spacing w:line="574" w:lineRule="exact"/>
        <w:ind w:firstLine="643" w:firstLineChars="200"/>
        <w:jc w:val="both"/>
        <w:outlineLvl w:val="1"/>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2.产出指标</w:t>
      </w:r>
    </w:p>
    <w:p w14:paraId="2C3EC383">
      <w:pPr>
        <w:spacing w:line="574" w:lineRule="exact"/>
        <w:ind w:firstLine="640" w:firstLineChars="200"/>
        <w:jc w:val="both"/>
        <w:rPr>
          <w:rFonts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（1）道路完成通车：目标值</w:t>
      </w:r>
      <w:r>
        <w:rPr>
          <w:rFonts w:hint="eastAsia" w:ascii="仿宋_GB2312" w:hAnsi="仿宋_GB2312" w:eastAsia="仿宋_GB2312" w:cs="仿宋_GB2312"/>
          <w:sz w:val="32"/>
          <w:szCs w:val="32"/>
          <w:highlight w:val="none"/>
          <w:lang w:val="en-US" w:eastAsia="zh-CN"/>
        </w:rPr>
        <w:t>2条</w:t>
      </w:r>
      <w:r>
        <w:rPr>
          <w:rFonts w:hint="eastAsia" w:ascii="仿宋_GB2312" w:hAnsi="仿宋_GB2312" w:eastAsia="仿宋_GB2312" w:cs="仿宋_GB2312"/>
          <w:sz w:val="32"/>
          <w:szCs w:val="32"/>
          <w:highlight w:val="none"/>
          <w:lang w:eastAsia="zh-CN"/>
        </w:rPr>
        <w:t>，实际完成值</w:t>
      </w:r>
      <w:r>
        <w:rPr>
          <w:rFonts w:hint="eastAsia" w:ascii="仿宋_GB2312" w:hAnsi="仿宋_GB2312" w:eastAsia="仿宋_GB2312" w:cs="仿宋_GB2312"/>
          <w:sz w:val="32"/>
          <w:szCs w:val="32"/>
          <w:highlight w:val="none"/>
          <w:lang w:val="en-US" w:eastAsia="zh-CN"/>
        </w:rPr>
        <w:t>2条</w:t>
      </w:r>
      <w:r>
        <w:rPr>
          <w:rFonts w:hint="eastAsia" w:ascii="仿宋_GB2312" w:hAnsi="仿宋_GB2312" w:eastAsia="仿宋_GB2312" w:cs="仿宋_GB2312"/>
          <w:sz w:val="32"/>
          <w:szCs w:val="32"/>
          <w:highlight w:val="none"/>
          <w:lang w:eastAsia="zh-CN"/>
        </w:rPr>
        <w:t>。依据《竣工验收证书》（市政一标北起秦岭路，东至嘉陵江路；市政二标起于秦岭路以南，止于太湖大道以北）、地图截图。市政一标竣工时间为2025年12月12日；市政二标竣工时间为2025年12月15日。</w:t>
      </w:r>
      <w:r>
        <w:rPr>
          <w:rFonts w:hint="eastAsia" w:ascii="仿宋_GB2312" w:hAnsi="仿宋_GB2312" w:eastAsia="仿宋_GB2312" w:cs="仿宋_GB2312"/>
          <w:sz w:val="32"/>
          <w:szCs w:val="32"/>
          <w:lang w:val="en-US" w:eastAsia="zh-CN"/>
        </w:rPr>
        <w:t>得分为5*100%=5分。</w:t>
      </w:r>
    </w:p>
    <w:p w14:paraId="70BB6B3C">
      <w:pPr>
        <w:spacing w:line="574"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（2）新开工道路：目标值</w:t>
      </w:r>
      <w:r>
        <w:rPr>
          <w:rFonts w:hint="eastAsia" w:ascii="仿宋_GB2312" w:hAnsi="仿宋_GB2312" w:eastAsia="仿宋_GB2312" w:cs="仿宋_GB2312"/>
          <w:sz w:val="32"/>
          <w:szCs w:val="32"/>
          <w:lang w:val="en-US" w:eastAsia="zh-CN"/>
        </w:rPr>
        <w:t>3条</w:t>
      </w:r>
      <w:r>
        <w:rPr>
          <w:rFonts w:hint="eastAsia" w:ascii="仿宋_GB2312" w:hAnsi="仿宋_GB2312" w:eastAsia="仿宋_GB2312" w:cs="仿宋_GB2312"/>
          <w:sz w:val="32"/>
          <w:szCs w:val="32"/>
          <w:lang w:eastAsia="zh-CN"/>
        </w:rPr>
        <w:t>，实际完成值</w:t>
      </w:r>
      <w:r>
        <w:rPr>
          <w:rFonts w:hint="eastAsia" w:ascii="仿宋_GB2312" w:hAnsi="仿宋_GB2312" w:eastAsia="仿宋_GB2312" w:cs="仿宋_GB2312"/>
          <w:sz w:val="32"/>
          <w:szCs w:val="32"/>
          <w:lang w:val="en-US" w:eastAsia="zh-CN"/>
        </w:rPr>
        <w:t>0条</w:t>
      </w:r>
      <w:r>
        <w:rPr>
          <w:rFonts w:hint="eastAsia" w:ascii="仿宋_GB2312" w:hAnsi="仿宋_GB2312" w:eastAsia="仿宋_GB2312" w:cs="仿宋_GB2312"/>
          <w:sz w:val="32"/>
          <w:szCs w:val="32"/>
          <w:lang w:eastAsia="zh-CN"/>
        </w:rPr>
        <w:t>。原计划于2025年启动实施的浔阳江路、横三路等3条道路需至地块控规调整完成后方可办理手续、启动建设，市人民政府关于控规调整的批复于2026年1月取得，故2025年无新开工道路。</w:t>
      </w:r>
      <w:r>
        <w:rPr>
          <w:rFonts w:hint="eastAsia" w:ascii="仿宋_GB2312" w:hAnsi="仿宋_GB2312" w:eastAsia="仿宋_GB2312" w:cs="仿宋_GB2312"/>
          <w:sz w:val="32"/>
          <w:szCs w:val="32"/>
          <w:lang w:val="en-US" w:eastAsia="zh-CN"/>
        </w:rPr>
        <w:t>扣除60%权重分，该指标得2分。</w:t>
      </w:r>
    </w:p>
    <w:p w14:paraId="4EE5DA91">
      <w:pPr>
        <w:spacing w:line="574"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（3）完成子项招标：目标值</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个，实际完成值</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个。原计划于2025年启动实施的浔阳江路、横三路等3条道路需至地块控规调整完成后方可办理手续、启动建设，市人民政府关于控规调整的批复于2026年1月取得，故2025年未开展项目招标工作。</w:t>
      </w:r>
      <w:r>
        <w:rPr>
          <w:rFonts w:hint="eastAsia" w:ascii="仿宋_GB2312" w:hAnsi="仿宋_GB2312" w:eastAsia="仿宋_GB2312" w:cs="仿宋_GB2312"/>
          <w:sz w:val="32"/>
          <w:szCs w:val="32"/>
          <w:lang w:val="en-US" w:eastAsia="zh-CN"/>
        </w:rPr>
        <w:t>扣除60%权重分，该指标得2分。</w:t>
      </w:r>
    </w:p>
    <w:p w14:paraId="1BDFB759">
      <w:pPr>
        <w:spacing w:line="574"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（4）监理工作开展率：目标值</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，实际完成值</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依据《监理日志》《监理月报》《工程例会会议纪要》《工程质量报验表》《监理通知单》《监理通知回复单》《监理规划》。本项目对监理工作形成月报，开展监理例会、安全检查等，对存在安全隐患的部分签发监理通知单，施工单位均已整改合格，</w:t>
      </w:r>
      <w:r>
        <w:rPr>
          <w:rFonts w:hint="eastAsia" w:ascii="仿宋_GB2312" w:hAnsi="仿宋_GB2312" w:eastAsia="仿宋_GB2312" w:cs="仿宋_GB2312"/>
          <w:sz w:val="32"/>
          <w:szCs w:val="32"/>
          <w:lang w:val="en-US" w:eastAsia="zh-CN"/>
        </w:rPr>
        <w:t>监理工作开展率100%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得分为5*100%=5分。</w:t>
      </w:r>
    </w:p>
    <w:p w14:paraId="3BF46E1F">
      <w:pPr>
        <w:spacing w:line="574" w:lineRule="exact"/>
        <w:ind w:firstLine="640" w:firstLineChars="200"/>
        <w:jc w:val="both"/>
        <w:rPr>
          <w:rFonts w:ascii="仿宋_GB2312" w:hAnsi="仿宋_GB2312" w:eastAsia="仿宋_GB2312" w:cs="仿宋_GB2312"/>
          <w:sz w:val="32"/>
          <w:szCs w:val="32"/>
          <w:highlight w:val="yellow"/>
          <w:lang w:eastAsia="zh-CN"/>
        </w:rPr>
      </w:pPr>
      <w:r>
        <w:rPr>
          <w:rFonts w:hint="eastAsia" w:ascii="仿宋_GB2312" w:hAnsi="仿宋_GB2312" w:eastAsia="仿宋_GB2312" w:cs="仿宋_GB2312"/>
          <w:sz w:val="32"/>
          <w:szCs w:val="32"/>
          <w:lang w:eastAsia="zh-CN"/>
        </w:rPr>
        <w:t>（5）道路通车及时性：目标值</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lang w:eastAsia="zh-CN"/>
        </w:rPr>
        <w:t>，实际完成值</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lang w:eastAsia="zh-CN"/>
        </w:rPr>
        <w:t>。依据《竣工验收证书》（市政二标起于秦岭路以南，止于太湖大道以北；市政一标北起秦岭路，东至嘉陵江路）</w:t>
      </w:r>
      <w:r>
        <w:rPr>
          <w:rFonts w:hint="eastAsia" w:ascii="仿宋_GB2312" w:hAnsi="仿宋_GB2312" w:eastAsia="仿宋_GB2312" w:cs="仿宋_GB2312"/>
          <w:sz w:val="32"/>
          <w:szCs w:val="32"/>
          <w:highlight w:val="none"/>
          <w:lang w:eastAsia="zh-CN"/>
        </w:rPr>
        <w:t>、合同。市政一标合同计划竣工时间为2026年1月17日，实际竣工验收时间为2025年12月12日；市政二标合同计划竣工时间为2027年1月17日，实际竣工验收时间为2025年12月15日。已提供资料均为佐证道路竣工及时，无法佐证道路通车及时，酌情得90%权重分，得分为5*90%=4.5分。</w:t>
      </w:r>
    </w:p>
    <w:p w14:paraId="1128D689">
      <w:pPr>
        <w:spacing w:line="574" w:lineRule="exact"/>
        <w:ind w:firstLine="640" w:firstLineChars="200"/>
        <w:jc w:val="both"/>
        <w:rPr>
          <w:rFonts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）成本控制率：目标值100%，实际完成值</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lang w:eastAsia="zh-CN"/>
        </w:rPr>
        <w:t>%。依据江苏省投资项目备案证、概算表、银行监管户明细账、建行明细账、财务明细账、</w:t>
      </w:r>
      <w:r>
        <w:rPr>
          <w:rFonts w:hint="eastAsia" w:ascii="仿宋_GB2312" w:hAnsi="仿宋_GB2312" w:eastAsia="仿宋_GB2312" w:cs="仿宋_GB2312"/>
          <w:sz w:val="32"/>
          <w:szCs w:val="32"/>
          <w:lang w:val="en-US" w:eastAsia="zh-CN"/>
        </w:rPr>
        <w:t>分项工程跟审资料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eastAsia="zh-CN"/>
        </w:rPr>
        <w:t>本项目计划总投资26.05亿元，截至2025年12月，累计支付</w:t>
      </w:r>
      <w:r>
        <w:rPr>
          <w:rFonts w:hint="eastAsia" w:ascii="仿宋_GB2312" w:hAnsi="仿宋_GB2312" w:eastAsia="仿宋_GB2312" w:cs="仿宋_GB2312"/>
          <w:sz w:val="32"/>
          <w:szCs w:val="32"/>
          <w:highlight w:val="none"/>
          <w:lang w:val="en-US" w:eastAsia="zh-CN"/>
        </w:rPr>
        <w:t>4.2</w:t>
      </w:r>
      <w:r>
        <w:rPr>
          <w:rFonts w:hint="eastAsia" w:ascii="仿宋_GB2312" w:hAnsi="仿宋_GB2312" w:eastAsia="仿宋_GB2312" w:cs="仿宋_GB2312"/>
          <w:sz w:val="32"/>
          <w:szCs w:val="32"/>
          <w:highlight w:val="none"/>
          <w:lang w:eastAsia="zh-CN"/>
        </w:rPr>
        <w:t>亿元，项目合同金额合计5.16亿元，未超投资总额。未提供项目总概算书，无法比较成本控制情况，酌情得</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0%权重分，得分为5*</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lang w:eastAsia="zh-CN"/>
        </w:rPr>
        <w:t>0%=4分。</w:t>
      </w:r>
    </w:p>
    <w:p w14:paraId="036FC190">
      <w:pPr>
        <w:spacing w:line="574" w:lineRule="exact"/>
        <w:ind w:firstLine="643" w:firstLineChars="200"/>
        <w:jc w:val="both"/>
        <w:outlineLvl w:val="1"/>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3.效益指标</w:t>
      </w:r>
    </w:p>
    <w:p w14:paraId="1FCE838B">
      <w:pPr>
        <w:spacing w:line="574"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当年利息支付率：目标值100%，实际完成值100%。依据债券发放日期截图、2025年苏州高新区2020年以来新增专项债券还本付息付费情况表、江苏省非税收入统一票据（电子）、苏州科技城科技产业发展有限公司用款申请单、银行回单。本项目债务本息及发行费用</w:t>
      </w:r>
      <w:r>
        <w:rPr>
          <w:rFonts w:hint="eastAsia" w:ascii="仿宋_GB2312" w:hAnsi="仿宋_GB2312" w:eastAsia="仿宋_GB2312" w:cs="仿宋_GB2312"/>
          <w:sz w:val="32"/>
          <w:szCs w:val="32"/>
          <w:lang w:val="en-US" w:eastAsia="zh-CN"/>
        </w:rPr>
        <w:t>共上缴599.73万元，其中利息575.70万元（2024年债券利息265.20万元、2025年债券利息310.50万元），债券利息支付率100%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得分为10分。</w:t>
      </w:r>
    </w:p>
    <w:p w14:paraId="0941A2B8">
      <w:pPr>
        <w:spacing w:line="574"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（2）无重大安全事故发生率：目标值100%，实际完成值100%。依据《项目部安全检查和隐患排查治理（定期检查）》《隐患排查治理清单》《情况说明》。本项目无重大安全事故。</w:t>
      </w:r>
      <w:r>
        <w:rPr>
          <w:rFonts w:hint="eastAsia" w:ascii="仿宋_GB2312" w:hAnsi="仿宋_GB2312" w:eastAsia="仿宋_GB2312" w:cs="仿宋_GB2312"/>
          <w:sz w:val="32"/>
          <w:szCs w:val="32"/>
          <w:lang w:val="en-US" w:eastAsia="zh-CN"/>
        </w:rPr>
        <w:t>得分为10分。</w:t>
      </w:r>
    </w:p>
    <w:p w14:paraId="58880A1C">
      <w:pPr>
        <w:spacing w:line="574"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（3）无环保事件发生率：目标值100%，实际完成值100%。依据《建设工程施工环境问题整改完成报告书》《情况说明》。本项目无环保事件。</w:t>
      </w:r>
      <w:r>
        <w:rPr>
          <w:rFonts w:hint="eastAsia" w:ascii="仿宋_GB2312" w:hAnsi="仿宋_GB2312" w:eastAsia="仿宋_GB2312" w:cs="仿宋_GB2312"/>
          <w:sz w:val="32"/>
          <w:szCs w:val="32"/>
          <w:lang w:val="en-US" w:eastAsia="zh-CN"/>
        </w:rPr>
        <w:t>得分为10分。</w:t>
      </w:r>
    </w:p>
    <w:p w14:paraId="47BD3A36">
      <w:pPr>
        <w:spacing w:line="574" w:lineRule="exact"/>
        <w:ind w:firstLine="643" w:firstLineChars="200"/>
        <w:jc w:val="both"/>
        <w:outlineLvl w:val="1"/>
        <w:rPr>
          <w:rFonts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（四）满意度指标</w:t>
      </w:r>
    </w:p>
    <w:p w14:paraId="1C983587">
      <w:pPr>
        <w:spacing w:line="574" w:lineRule="exact"/>
        <w:ind w:firstLine="640" w:firstLineChars="200"/>
        <w:jc w:val="both"/>
        <w:rPr>
          <w:rFonts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参建单位满意度：目标值90%，实际完成值</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依据《苏州高新区光子产业园融合发展项目绩效评价问卷调查方案》、调查问卷、《苏州高新区光子产业园融合发展项目评价问卷（企业）调查报告》</w:t>
      </w:r>
      <w:r>
        <w:rPr>
          <w:rFonts w:hint="eastAsia" w:ascii="仿宋_GB2312" w:hAnsi="仿宋_GB2312" w:eastAsia="仿宋_GB2312" w:cs="仿宋_GB2312"/>
          <w:color w:val="auto"/>
          <w:sz w:val="32"/>
          <w:szCs w:val="32"/>
          <w:highlight w:val="none"/>
          <w:lang w:eastAsia="zh-CN"/>
        </w:rPr>
        <w:t>。通过纸质问卷的形式对6家参建单位发放35份问卷，参建单位满意度100%。</w:t>
      </w:r>
      <w:r>
        <w:rPr>
          <w:rFonts w:hint="eastAsia" w:ascii="仿宋_GB2312" w:hAnsi="仿宋_GB2312" w:eastAsia="仿宋_GB2312" w:cs="仿宋_GB2312"/>
          <w:sz w:val="32"/>
          <w:szCs w:val="32"/>
          <w:lang w:val="en-US" w:eastAsia="zh-CN"/>
        </w:rPr>
        <w:t>得分为10分。</w:t>
      </w:r>
    </w:p>
    <w:p w14:paraId="16BFE8EE">
      <w:pPr>
        <w:numPr>
          <w:ilvl w:val="0"/>
          <w:numId w:val="5"/>
        </w:numPr>
        <w:spacing w:line="360" w:lineRule="auto"/>
        <w:ind w:firstLine="643" w:firstLineChars="200"/>
        <w:jc w:val="both"/>
        <w:outlineLvl w:val="0"/>
        <w:rPr>
          <w:rFonts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存在问题</w:t>
      </w:r>
    </w:p>
    <w:p w14:paraId="0270B421">
      <w:pPr>
        <w:numPr>
          <w:ilvl w:val="0"/>
          <w:numId w:val="8"/>
        </w:numPr>
        <w:spacing w:line="360" w:lineRule="auto"/>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年度工程进度脱幅，未实施3条新开工道路，导致招标进度滞后，主要原因为本项</w:t>
      </w:r>
      <w:bookmarkStart w:id="0" w:name="_GoBack"/>
      <w:bookmarkEnd w:id="0"/>
      <w:r>
        <w:rPr>
          <w:rFonts w:hint="eastAsia" w:ascii="仿宋_GB2312" w:hAnsi="仿宋_GB2312" w:eastAsia="仿宋_GB2312" w:cs="仿宋_GB2312"/>
          <w:sz w:val="32"/>
          <w:szCs w:val="32"/>
          <w:lang w:val="en-US" w:eastAsia="zh-CN"/>
        </w:rPr>
        <w:t>目所涉及地块进行控规调整，原地块内道路、用地、水系均涉及取消或线性调整，浔阳江路、横三路等3条道路需至地块控规调整完成后方可办理手续、启动建设</w:t>
      </w:r>
      <w:r>
        <w:rPr>
          <w:rFonts w:hint="eastAsia" w:ascii="仿宋_GB2312" w:hAnsi="仿宋_GB2312" w:eastAsia="仿宋_GB2312" w:cs="仿宋_GB2312"/>
          <w:sz w:val="32"/>
          <w:szCs w:val="32"/>
          <w:lang w:eastAsia="zh-CN"/>
        </w:rPr>
        <w:t>。</w:t>
      </w:r>
    </w:p>
    <w:p w14:paraId="603311C7">
      <w:pPr>
        <w:spacing w:line="360" w:lineRule="auto"/>
        <w:ind w:firstLine="640" w:firstLineChars="200"/>
        <w:jc w:val="both"/>
        <w:rPr>
          <w:rFonts w:ascii="仿宋_GB2312" w:hAnsi="仿宋_GB2312" w:eastAsia="仿宋_GB2312" w:cs="仿宋_GB2312"/>
          <w:b/>
          <w:bCs/>
          <w:sz w:val="32"/>
          <w:szCs w:val="32"/>
          <w:lang w:eastAsia="zh-CN"/>
        </w:rPr>
      </w:pPr>
      <w:r>
        <w:rPr>
          <w:rFonts w:hint="eastAsia" w:ascii="仿宋_GB2312" w:hAnsi="仿宋_GB2312" w:eastAsia="仿宋_GB2312" w:cs="仿宋_GB2312"/>
          <w:sz w:val="32"/>
          <w:szCs w:val="32"/>
          <w:lang w:eastAsia="zh-CN"/>
        </w:rPr>
        <w:t>2.工程施工细节存在欠缺。由于项目工程量大、情况复杂，个别施工进度较节点滞后。安全文明施工中裸土覆盖、泥浆处置方面稍有欠缺。</w:t>
      </w:r>
    </w:p>
    <w:p w14:paraId="649D07EF">
      <w:pPr>
        <w:numPr>
          <w:ilvl w:val="0"/>
          <w:numId w:val="5"/>
        </w:numPr>
        <w:spacing w:line="360" w:lineRule="auto"/>
        <w:ind w:firstLine="643" w:firstLineChars="200"/>
        <w:jc w:val="both"/>
        <w:outlineLvl w:val="0"/>
        <w:rPr>
          <w:rFonts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eastAsia="zh-CN"/>
        </w:rPr>
        <w:t>有关建议</w:t>
      </w:r>
    </w:p>
    <w:p w14:paraId="3B509895">
      <w:pPr>
        <w:numPr>
          <w:ilvl w:val="0"/>
          <w:numId w:val="9"/>
        </w:numPr>
        <w:spacing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sz w:val="32"/>
          <w:szCs w:val="32"/>
          <w:lang w:eastAsia="zh-CN"/>
        </w:rPr>
        <w:t>前期与规划部门</w:t>
      </w:r>
      <w:r>
        <w:rPr>
          <w:rFonts w:hint="eastAsia" w:ascii="仿宋_GB2312" w:hAnsi="仿宋_GB2312" w:eastAsia="仿宋_GB2312" w:cs="仿宋_GB2312"/>
          <w:sz w:val="32"/>
          <w:szCs w:val="32"/>
          <w:lang w:val="en-US" w:eastAsia="zh-CN"/>
        </w:rPr>
        <w:t>对接</w:t>
      </w:r>
      <w:r>
        <w:rPr>
          <w:rFonts w:hint="eastAsia" w:ascii="仿宋_GB2312" w:hAnsi="仿宋_GB2312" w:eastAsia="仿宋_GB2312" w:cs="仿宋_GB2312"/>
          <w:sz w:val="32"/>
          <w:szCs w:val="32"/>
          <w:lang w:eastAsia="zh-CN"/>
        </w:rPr>
        <w:t>，密切跟踪控规调整进展，条件具备后及时启动建设，确保工程进度与规划审批有效衔接。</w:t>
      </w:r>
    </w:p>
    <w:p w14:paraId="084E94C1">
      <w:pPr>
        <w:numPr>
          <w:ilvl w:val="0"/>
          <w:numId w:val="9"/>
        </w:numPr>
        <w:spacing w:line="360" w:lineRule="auto"/>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加强工程管理。针对施工进度滞后，深入分析原因并制定赶工计划，增加人员设备投入、优化施工方案。强化安全文明施工监管，严格落实裸土覆盖和泥浆处置标准。加大巡查力度，对整改不力的依法处理。</w:t>
      </w:r>
    </w:p>
    <w:sectPr>
      <w:footerReference r:id="rId3" w:type="default"/>
      <w:type w:val="continuous"/>
      <w:pgSz w:w="11910" w:h="16840"/>
      <w:pgMar w:top="1134" w:right="1417" w:bottom="1134" w:left="141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0000000000000000000"/>
    <w:charset w:val="86"/>
    <w:family w:val="swiss"/>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806E2">
    <w:pPr>
      <w:pStyle w:val="7"/>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BA0588">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BA0588">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E65163"/>
    <w:multiLevelType w:val="singleLevel"/>
    <w:tmpl w:val="8FE65163"/>
    <w:lvl w:ilvl="0" w:tentative="0">
      <w:start w:val="2"/>
      <w:numFmt w:val="decimal"/>
      <w:suff w:val="nothing"/>
      <w:lvlText w:val="（%1）"/>
      <w:lvlJc w:val="left"/>
    </w:lvl>
  </w:abstractNum>
  <w:abstractNum w:abstractNumId="1">
    <w:nsid w:val="900D0D4A"/>
    <w:multiLevelType w:val="singleLevel"/>
    <w:tmpl w:val="900D0D4A"/>
    <w:lvl w:ilvl="0" w:tentative="0">
      <w:start w:val="1"/>
      <w:numFmt w:val="decimal"/>
      <w:suff w:val="nothing"/>
      <w:lvlText w:val="%1、"/>
      <w:lvlJc w:val="left"/>
    </w:lvl>
  </w:abstractNum>
  <w:abstractNum w:abstractNumId="2">
    <w:nsid w:val="CECAFCE7"/>
    <w:multiLevelType w:val="singleLevel"/>
    <w:tmpl w:val="CECAFCE7"/>
    <w:lvl w:ilvl="0" w:tentative="0">
      <w:start w:val="1"/>
      <w:numFmt w:val="decimal"/>
      <w:suff w:val="nothing"/>
      <w:lvlText w:val="%1、"/>
      <w:lvlJc w:val="left"/>
    </w:lvl>
  </w:abstractNum>
  <w:abstractNum w:abstractNumId="3">
    <w:nsid w:val="D66528F1"/>
    <w:multiLevelType w:val="singleLevel"/>
    <w:tmpl w:val="D66528F1"/>
    <w:lvl w:ilvl="0" w:tentative="0">
      <w:start w:val="2"/>
      <w:numFmt w:val="decimal"/>
      <w:suff w:val="nothing"/>
      <w:lvlText w:val="（%1）"/>
      <w:lvlJc w:val="left"/>
    </w:lvl>
  </w:abstractNum>
  <w:abstractNum w:abstractNumId="4">
    <w:nsid w:val="D72D015C"/>
    <w:multiLevelType w:val="singleLevel"/>
    <w:tmpl w:val="D72D015C"/>
    <w:lvl w:ilvl="0" w:tentative="0">
      <w:start w:val="1"/>
      <w:numFmt w:val="decimal"/>
      <w:suff w:val="nothing"/>
      <w:lvlText w:val="%1、"/>
      <w:lvlJc w:val="left"/>
    </w:lvl>
  </w:abstractNum>
  <w:abstractNum w:abstractNumId="5">
    <w:nsid w:val="E611424F"/>
    <w:multiLevelType w:val="singleLevel"/>
    <w:tmpl w:val="E611424F"/>
    <w:lvl w:ilvl="0" w:tentative="0">
      <w:start w:val="1"/>
      <w:numFmt w:val="chineseCounting"/>
      <w:suff w:val="nothing"/>
      <w:lvlText w:val="%1、"/>
      <w:lvlJc w:val="left"/>
      <w:rPr>
        <w:rFonts w:hint="eastAsia"/>
      </w:rPr>
    </w:lvl>
  </w:abstractNum>
  <w:abstractNum w:abstractNumId="6">
    <w:nsid w:val="139CDF54"/>
    <w:multiLevelType w:val="singleLevel"/>
    <w:tmpl w:val="139CDF54"/>
    <w:lvl w:ilvl="0" w:tentative="0">
      <w:start w:val="2"/>
      <w:numFmt w:val="decimal"/>
      <w:suff w:val="nothing"/>
      <w:lvlText w:val="（%1）"/>
      <w:lvlJc w:val="left"/>
    </w:lvl>
  </w:abstractNum>
  <w:abstractNum w:abstractNumId="7">
    <w:nsid w:val="4EB87FCA"/>
    <w:multiLevelType w:val="singleLevel"/>
    <w:tmpl w:val="4EB87FCA"/>
    <w:lvl w:ilvl="0" w:tentative="0">
      <w:start w:val="1"/>
      <w:numFmt w:val="chineseCounting"/>
      <w:suff w:val="nothing"/>
      <w:lvlText w:val="（%1）"/>
      <w:lvlJc w:val="left"/>
      <w:rPr>
        <w:rFonts w:hint="eastAsia"/>
      </w:rPr>
    </w:lvl>
  </w:abstractNum>
  <w:abstractNum w:abstractNumId="8">
    <w:nsid w:val="6AEE1E88"/>
    <w:multiLevelType w:val="singleLevel"/>
    <w:tmpl w:val="6AEE1E88"/>
    <w:lvl w:ilvl="0" w:tentative="0">
      <w:start w:val="3"/>
      <w:numFmt w:val="chineseCounting"/>
      <w:suff w:val="nothing"/>
      <w:lvlText w:val="%1、"/>
      <w:lvlJc w:val="left"/>
      <w:rPr>
        <w:rFonts w:hint="eastAsia"/>
      </w:rPr>
    </w:lvl>
  </w:abstractNum>
  <w:num w:numId="1">
    <w:abstractNumId w:val="5"/>
  </w:num>
  <w:num w:numId="2">
    <w:abstractNumId w:val="0"/>
  </w:num>
  <w:num w:numId="3">
    <w:abstractNumId w:val="1"/>
  </w:num>
  <w:num w:numId="4">
    <w:abstractNumId w:val="6"/>
  </w:num>
  <w:num w:numId="5">
    <w:abstractNumId w:val="8"/>
  </w:num>
  <w:num w:numId="6">
    <w:abstractNumId w:val="7"/>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5YmQzMTE5ZDlkYzg3NDdkYWZjODdhNDQ0ZTQ2NzUifQ=="/>
  </w:docVars>
  <w:rsids>
    <w:rsidRoot w:val="006A0286"/>
    <w:rsid w:val="0000186F"/>
    <w:rsid w:val="00027842"/>
    <w:rsid w:val="000F0010"/>
    <w:rsid w:val="001076FD"/>
    <w:rsid w:val="00112A3C"/>
    <w:rsid w:val="0012335B"/>
    <w:rsid w:val="001D43CE"/>
    <w:rsid w:val="001E1F08"/>
    <w:rsid w:val="001F5652"/>
    <w:rsid w:val="002034C4"/>
    <w:rsid w:val="00223670"/>
    <w:rsid w:val="002F39B9"/>
    <w:rsid w:val="00317F35"/>
    <w:rsid w:val="0035342B"/>
    <w:rsid w:val="003D4D43"/>
    <w:rsid w:val="00412A90"/>
    <w:rsid w:val="00427AA3"/>
    <w:rsid w:val="00453872"/>
    <w:rsid w:val="00485FCA"/>
    <w:rsid w:val="00496584"/>
    <w:rsid w:val="004B1555"/>
    <w:rsid w:val="004E3E98"/>
    <w:rsid w:val="004F2889"/>
    <w:rsid w:val="0052274A"/>
    <w:rsid w:val="00541FD2"/>
    <w:rsid w:val="0055497B"/>
    <w:rsid w:val="0058181F"/>
    <w:rsid w:val="005C5968"/>
    <w:rsid w:val="005C6A61"/>
    <w:rsid w:val="005D094F"/>
    <w:rsid w:val="005D61F8"/>
    <w:rsid w:val="006032DC"/>
    <w:rsid w:val="006A0286"/>
    <w:rsid w:val="006D7977"/>
    <w:rsid w:val="006F1257"/>
    <w:rsid w:val="006F21E4"/>
    <w:rsid w:val="006F2AB8"/>
    <w:rsid w:val="00705B52"/>
    <w:rsid w:val="0072674E"/>
    <w:rsid w:val="007416BA"/>
    <w:rsid w:val="0075652D"/>
    <w:rsid w:val="00784065"/>
    <w:rsid w:val="00791248"/>
    <w:rsid w:val="007A754E"/>
    <w:rsid w:val="00830C91"/>
    <w:rsid w:val="0085065B"/>
    <w:rsid w:val="008B4AAF"/>
    <w:rsid w:val="008C735A"/>
    <w:rsid w:val="008D7527"/>
    <w:rsid w:val="008F6FC9"/>
    <w:rsid w:val="00926E98"/>
    <w:rsid w:val="0095504B"/>
    <w:rsid w:val="009751FF"/>
    <w:rsid w:val="00984011"/>
    <w:rsid w:val="009B2D68"/>
    <w:rsid w:val="00A14DE2"/>
    <w:rsid w:val="00A72387"/>
    <w:rsid w:val="00A863A2"/>
    <w:rsid w:val="00AA24DC"/>
    <w:rsid w:val="00AC69E3"/>
    <w:rsid w:val="00B14C89"/>
    <w:rsid w:val="00B33955"/>
    <w:rsid w:val="00B8412B"/>
    <w:rsid w:val="00BD1F01"/>
    <w:rsid w:val="00C43F27"/>
    <w:rsid w:val="00CB64D3"/>
    <w:rsid w:val="00D20830"/>
    <w:rsid w:val="00D71C46"/>
    <w:rsid w:val="00D855DD"/>
    <w:rsid w:val="00D85F96"/>
    <w:rsid w:val="00DE067D"/>
    <w:rsid w:val="00DF053C"/>
    <w:rsid w:val="00E1011A"/>
    <w:rsid w:val="00E70A55"/>
    <w:rsid w:val="00EB03FD"/>
    <w:rsid w:val="00ED06B2"/>
    <w:rsid w:val="00EF65E3"/>
    <w:rsid w:val="00F0581C"/>
    <w:rsid w:val="00F063D5"/>
    <w:rsid w:val="00F161C4"/>
    <w:rsid w:val="00F35A70"/>
    <w:rsid w:val="00F4202D"/>
    <w:rsid w:val="00FB5E7E"/>
    <w:rsid w:val="00FC405A"/>
    <w:rsid w:val="00FC7877"/>
    <w:rsid w:val="013167DB"/>
    <w:rsid w:val="016E7CC6"/>
    <w:rsid w:val="02F4106B"/>
    <w:rsid w:val="03026236"/>
    <w:rsid w:val="03B82B2E"/>
    <w:rsid w:val="03D505AD"/>
    <w:rsid w:val="045E554C"/>
    <w:rsid w:val="04F717FC"/>
    <w:rsid w:val="056310DE"/>
    <w:rsid w:val="05FA65A2"/>
    <w:rsid w:val="06755C0E"/>
    <w:rsid w:val="06A73855"/>
    <w:rsid w:val="06D0351A"/>
    <w:rsid w:val="06E93094"/>
    <w:rsid w:val="07115C40"/>
    <w:rsid w:val="07464042"/>
    <w:rsid w:val="076072C9"/>
    <w:rsid w:val="076E006F"/>
    <w:rsid w:val="083956B1"/>
    <w:rsid w:val="088B0718"/>
    <w:rsid w:val="08EC001B"/>
    <w:rsid w:val="0923654E"/>
    <w:rsid w:val="092959CA"/>
    <w:rsid w:val="0942502B"/>
    <w:rsid w:val="09E86E7B"/>
    <w:rsid w:val="0B936BFE"/>
    <w:rsid w:val="0C675005"/>
    <w:rsid w:val="0C933E52"/>
    <w:rsid w:val="0D0D7157"/>
    <w:rsid w:val="0D3A4D95"/>
    <w:rsid w:val="0F0F11BE"/>
    <w:rsid w:val="0F136214"/>
    <w:rsid w:val="0F2065EE"/>
    <w:rsid w:val="0F2C19B6"/>
    <w:rsid w:val="10626C08"/>
    <w:rsid w:val="10EB04E8"/>
    <w:rsid w:val="11345291"/>
    <w:rsid w:val="12FD438F"/>
    <w:rsid w:val="13133562"/>
    <w:rsid w:val="13581DD4"/>
    <w:rsid w:val="13A42D64"/>
    <w:rsid w:val="13F17BAE"/>
    <w:rsid w:val="14180B62"/>
    <w:rsid w:val="14AB24EF"/>
    <w:rsid w:val="154806C3"/>
    <w:rsid w:val="15766770"/>
    <w:rsid w:val="15AE4FB1"/>
    <w:rsid w:val="15DA4565"/>
    <w:rsid w:val="168B406D"/>
    <w:rsid w:val="16B94831"/>
    <w:rsid w:val="17205F01"/>
    <w:rsid w:val="17553F8A"/>
    <w:rsid w:val="17CB4F24"/>
    <w:rsid w:val="186361CB"/>
    <w:rsid w:val="188A3755"/>
    <w:rsid w:val="18C9062F"/>
    <w:rsid w:val="18F171DB"/>
    <w:rsid w:val="18FA3766"/>
    <w:rsid w:val="198F7ACB"/>
    <w:rsid w:val="1A0664E4"/>
    <w:rsid w:val="1A720435"/>
    <w:rsid w:val="1BE4030D"/>
    <w:rsid w:val="1CB15EEB"/>
    <w:rsid w:val="1D267083"/>
    <w:rsid w:val="1DE324FB"/>
    <w:rsid w:val="1E650DFA"/>
    <w:rsid w:val="1E820A8F"/>
    <w:rsid w:val="1EA134C3"/>
    <w:rsid w:val="1EC728FE"/>
    <w:rsid w:val="1EEE53EA"/>
    <w:rsid w:val="1F95191A"/>
    <w:rsid w:val="1FD55B0C"/>
    <w:rsid w:val="20566C4C"/>
    <w:rsid w:val="216B3E44"/>
    <w:rsid w:val="22087C6F"/>
    <w:rsid w:val="22767BA9"/>
    <w:rsid w:val="22FB25E2"/>
    <w:rsid w:val="232C5B04"/>
    <w:rsid w:val="234027B7"/>
    <w:rsid w:val="23446677"/>
    <w:rsid w:val="23C9451A"/>
    <w:rsid w:val="24D80E54"/>
    <w:rsid w:val="251D2FE9"/>
    <w:rsid w:val="257E724C"/>
    <w:rsid w:val="25C96113"/>
    <w:rsid w:val="25EE0FAE"/>
    <w:rsid w:val="27160B79"/>
    <w:rsid w:val="279369D8"/>
    <w:rsid w:val="27B82AA4"/>
    <w:rsid w:val="27DA6BE3"/>
    <w:rsid w:val="27E6053F"/>
    <w:rsid w:val="29824F56"/>
    <w:rsid w:val="29CA4207"/>
    <w:rsid w:val="29D40F75"/>
    <w:rsid w:val="29D87103"/>
    <w:rsid w:val="2A7C467C"/>
    <w:rsid w:val="2A8E2BFF"/>
    <w:rsid w:val="2A9D47E8"/>
    <w:rsid w:val="2AC666C8"/>
    <w:rsid w:val="2B2C574C"/>
    <w:rsid w:val="2B2D0E1D"/>
    <w:rsid w:val="2C02295D"/>
    <w:rsid w:val="2C1C76CA"/>
    <w:rsid w:val="2C913354"/>
    <w:rsid w:val="2D135DF7"/>
    <w:rsid w:val="2E004950"/>
    <w:rsid w:val="2ED04F8E"/>
    <w:rsid w:val="2F01353B"/>
    <w:rsid w:val="2FF43732"/>
    <w:rsid w:val="300A35B0"/>
    <w:rsid w:val="300D0104"/>
    <w:rsid w:val="304D4555"/>
    <w:rsid w:val="30B113A2"/>
    <w:rsid w:val="30E24EAD"/>
    <w:rsid w:val="30EC4E08"/>
    <w:rsid w:val="31AF67F6"/>
    <w:rsid w:val="322E42AD"/>
    <w:rsid w:val="323D70D2"/>
    <w:rsid w:val="327876EE"/>
    <w:rsid w:val="327A2C6E"/>
    <w:rsid w:val="32B83797"/>
    <w:rsid w:val="32E45B31"/>
    <w:rsid w:val="32F43276"/>
    <w:rsid w:val="331217FF"/>
    <w:rsid w:val="3350577D"/>
    <w:rsid w:val="337663FE"/>
    <w:rsid w:val="33E22740"/>
    <w:rsid w:val="348C3B1A"/>
    <w:rsid w:val="35AD2BFB"/>
    <w:rsid w:val="35C92D04"/>
    <w:rsid w:val="35FB7C32"/>
    <w:rsid w:val="367C1E71"/>
    <w:rsid w:val="36A253EA"/>
    <w:rsid w:val="38753E59"/>
    <w:rsid w:val="38D429AD"/>
    <w:rsid w:val="38D90FF6"/>
    <w:rsid w:val="38F34EC5"/>
    <w:rsid w:val="39161217"/>
    <w:rsid w:val="396911FB"/>
    <w:rsid w:val="39CE1AF2"/>
    <w:rsid w:val="3A1A4D37"/>
    <w:rsid w:val="3A6B5356"/>
    <w:rsid w:val="3A835D92"/>
    <w:rsid w:val="3B5C0EA5"/>
    <w:rsid w:val="3B6720C4"/>
    <w:rsid w:val="3B6D1762"/>
    <w:rsid w:val="3C711111"/>
    <w:rsid w:val="3C9B3F0D"/>
    <w:rsid w:val="3D2F0AF9"/>
    <w:rsid w:val="3D627C22"/>
    <w:rsid w:val="3E52093C"/>
    <w:rsid w:val="3F774742"/>
    <w:rsid w:val="40EF2A79"/>
    <w:rsid w:val="41264DA9"/>
    <w:rsid w:val="418559EE"/>
    <w:rsid w:val="42A275B1"/>
    <w:rsid w:val="432524CA"/>
    <w:rsid w:val="43710E8C"/>
    <w:rsid w:val="43E52A81"/>
    <w:rsid w:val="460F3BFF"/>
    <w:rsid w:val="4670640B"/>
    <w:rsid w:val="46971BE9"/>
    <w:rsid w:val="47685334"/>
    <w:rsid w:val="477E733D"/>
    <w:rsid w:val="47844C36"/>
    <w:rsid w:val="47A11995"/>
    <w:rsid w:val="47A479CC"/>
    <w:rsid w:val="47C06798"/>
    <w:rsid w:val="4800172C"/>
    <w:rsid w:val="483416BA"/>
    <w:rsid w:val="484113E4"/>
    <w:rsid w:val="48665BD2"/>
    <w:rsid w:val="48825F81"/>
    <w:rsid w:val="49E559F9"/>
    <w:rsid w:val="4A8B2FDF"/>
    <w:rsid w:val="4BFA4055"/>
    <w:rsid w:val="4C5B5467"/>
    <w:rsid w:val="4CE22604"/>
    <w:rsid w:val="4D0278AC"/>
    <w:rsid w:val="4D2C6548"/>
    <w:rsid w:val="4D8206D0"/>
    <w:rsid w:val="4D834C75"/>
    <w:rsid w:val="4D9A1FBF"/>
    <w:rsid w:val="4E061D90"/>
    <w:rsid w:val="4E9C0BC5"/>
    <w:rsid w:val="4EFA1FD6"/>
    <w:rsid w:val="4EFE5D8C"/>
    <w:rsid w:val="4F0D4D1F"/>
    <w:rsid w:val="4F2002A2"/>
    <w:rsid w:val="4F252678"/>
    <w:rsid w:val="4F284E73"/>
    <w:rsid w:val="504C24BB"/>
    <w:rsid w:val="505E3E3F"/>
    <w:rsid w:val="508C68F3"/>
    <w:rsid w:val="50EB48F5"/>
    <w:rsid w:val="51172E15"/>
    <w:rsid w:val="51DE5F0D"/>
    <w:rsid w:val="524C5F45"/>
    <w:rsid w:val="52B551A5"/>
    <w:rsid w:val="534D53DE"/>
    <w:rsid w:val="5410177E"/>
    <w:rsid w:val="54931516"/>
    <w:rsid w:val="54F32863"/>
    <w:rsid w:val="559419D2"/>
    <w:rsid w:val="55D122F6"/>
    <w:rsid w:val="565E627F"/>
    <w:rsid w:val="568B4548"/>
    <w:rsid w:val="56FC4037"/>
    <w:rsid w:val="5722722F"/>
    <w:rsid w:val="5765363E"/>
    <w:rsid w:val="57746DAC"/>
    <w:rsid w:val="577742CD"/>
    <w:rsid w:val="577F1197"/>
    <w:rsid w:val="578C19E6"/>
    <w:rsid w:val="57DA3108"/>
    <w:rsid w:val="58853CC6"/>
    <w:rsid w:val="58BC07AC"/>
    <w:rsid w:val="596655D3"/>
    <w:rsid w:val="59C02DAD"/>
    <w:rsid w:val="59F842F5"/>
    <w:rsid w:val="5BA52560"/>
    <w:rsid w:val="5C1C6C2B"/>
    <w:rsid w:val="5C341D10"/>
    <w:rsid w:val="5C4E1BEB"/>
    <w:rsid w:val="5C683F2D"/>
    <w:rsid w:val="5C7B2A2D"/>
    <w:rsid w:val="5CD15622"/>
    <w:rsid w:val="5D6A375C"/>
    <w:rsid w:val="5D8D744A"/>
    <w:rsid w:val="5DCB0DB7"/>
    <w:rsid w:val="5E135BA1"/>
    <w:rsid w:val="5E387006"/>
    <w:rsid w:val="5E634E33"/>
    <w:rsid w:val="5E860858"/>
    <w:rsid w:val="5E8C6516"/>
    <w:rsid w:val="5E974DDA"/>
    <w:rsid w:val="5EB56C59"/>
    <w:rsid w:val="5FBC72E5"/>
    <w:rsid w:val="5FEB2BA4"/>
    <w:rsid w:val="603159B3"/>
    <w:rsid w:val="603A53B6"/>
    <w:rsid w:val="60821471"/>
    <w:rsid w:val="60AD2EA9"/>
    <w:rsid w:val="60C767CF"/>
    <w:rsid w:val="60D1421F"/>
    <w:rsid w:val="60FA1942"/>
    <w:rsid w:val="61AD1D56"/>
    <w:rsid w:val="62044E59"/>
    <w:rsid w:val="6286459E"/>
    <w:rsid w:val="62E5698D"/>
    <w:rsid w:val="62E607CE"/>
    <w:rsid w:val="62F31E2D"/>
    <w:rsid w:val="62FF4946"/>
    <w:rsid w:val="632C266E"/>
    <w:rsid w:val="63CC1360"/>
    <w:rsid w:val="63FB3C15"/>
    <w:rsid w:val="64794A71"/>
    <w:rsid w:val="64CF0CB7"/>
    <w:rsid w:val="64E36803"/>
    <w:rsid w:val="65CD3688"/>
    <w:rsid w:val="67AF33CD"/>
    <w:rsid w:val="68282249"/>
    <w:rsid w:val="683419D5"/>
    <w:rsid w:val="684626D0"/>
    <w:rsid w:val="68A87DEF"/>
    <w:rsid w:val="697E527C"/>
    <w:rsid w:val="69BF0D02"/>
    <w:rsid w:val="69F33097"/>
    <w:rsid w:val="6A047736"/>
    <w:rsid w:val="6A842EE9"/>
    <w:rsid w:val="6B7C455F"/>
    <w:rsid w:val="6BCC55E2"/>
    <w:rsid w:val="6C3D1780"/>
    <w:rsid w:val="6C5A7A8C"/>
    <w:rsid w:val="6D74015C"/>
    <w:rsid w:val="6D802044"/>
    <w:rsid w:val="6D94212F"/>
    <w:rsid w:val="6DA50790"/>
    <w:rsid w:val="6E891EB6"/>
    <w:rsid w:val="6EF146F7"/>
    <w:rsid w:val="6F5A0E53"/>
    <w:rsid w:val="6FBB1BF5"/>
    <w:rsid w:val="7015693E"/>
    <w:rsid w:val="705D2856"/>
    <w:rsid w:val="709D01EF"/>
    <w:rsid w:val="70B32F9C"/>
    <w:rsid w:val="70B8495E"/>
    <w:rsid w:val="711F7F62"/>
    <w:rsid w:val="71353C29"/>
    <w:rsid w:val="71D81716"/>
    <w:rsid w:val="72875E1E"/>
    <w:rsid w:val="728A1EFC"/>
    <w:rsid w:val="72A70ACB"/>
    <w:rsid w:val="731A4E85"/>
    <w:rsid w:val="736B49BF"/>
    <w:rsid w:val="74145AE3"/>
    <w:rsid w:val="743143E9"/>
    <w:rsid w:val="7479207F"/>
    <w:rsid w:val="753F3CA4"/>
    <w:rsid w:val="756B5E6B"/>
    <w:rsid w:val="75882579"/>
    <w:rsid w:val="75E579CC"/>
    <w:rsid w:val="76694266"/>
    <w:rsid w:val="768515E3"/>
    <w:rsid w:val="76E75814"/>
    <w:rsid w:val="77016F44"/>
    <w:rsid w:val="77075720"/>
    <w:rsid w:val="773F5211"/>
    <w:rsid w:val="777E28EC"/>
    <w:rsid w:val="77A92C7B"/>
    <w:rsid w:val="77D84690"/>
    <w:rsid w:val="78696D0E"/>
    <w:rsid w:val="7877401B"/>
    <w:rsid w:val="78DA5012"/>
    <w:rsid w:val="790F43FB"/>
    <w:rsid w:val="792B2230"/>
    <w:rsid w:val="79531B3B"/>
    <w:rsid w:val="7A0B3781"/>
    <w:rsid w:val="7A24483B"/>
    <w:rsid w:val="7A3727C0"/>
    <w:rsid w:val="7AE8752B"/>
    <w:rsid w:val="7C7575D0"/>
    <w:rsid w:val="7C830F7C"/>
    <w:rsid w:val="7DC437A1"/>
    <w:rsid w:val="7ECA4069"/>
    <w:rsid w:val="7F0F40ED"/>
    <w:rsid w:val="7F3D378A"/>
    <w:rsid w:val="7F5A44BF"/>
    <w:rsid w:val="7FA10E88"/>
    <w:rsid w:val="7FE760BD"/>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qFormat/>
    <w:uiPriority w:val="1"/>
    <w:pPr>
      <w:ind w:left="100"/>
      <w:outlineLvl w:val="0"/>
    </w:pPr>
    <w:rPr>
      <w:rFonts w:ascii="宋体" w:hAnsi="宋体" w:eastAsia="宋体"/>
      <w:sz w:val="36"/>
      <w:szCs w:val="36"/>
    </w:rPr>
  </w:style>
  <w:style w:type="paragraph" w:styleId="3">
    <w:name w:val="heading 2"/>
    <w:basedOn w:val="1"/>
    <w:next w:val="1"/>
    <w:autoRedefine/>
    <w:qFormat/>
    <w:uiPriority w:val="1"/>
    <w:pPr>
      <w:ind w:left="-21" w:firstLine="2592"/>
      <w:outlineLvl w:val="1"/>
    </w:pPr>
    <w:rPr>
      <w:rFonts w:ascii="宋体" w:hAnsi="宋体" w:eastAsia="宋体"/>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semiHidden/>
    <w:unhideWhenUsed/>
    <w:qFormat/>
    <w:uiPriority w:val="99"/>
  </w:style>
  <w:style w:type="paragraph" w:styleId="5">
    <w:name w:val="Body Text"/>
    <w:basedOn w:val="1"/>
    <w:autoRedefine/>
    <w:qFormat/>
    <w:uiPriority w:val="1"/>
    <w:pPr>
      <w:spacing w:before="207"/>
      <w:ind w:left="120"/>
    </w:pPr>
    <w:rPr>
      <w:rFonts w:ascii="宋体" w:hAnsi="宋体" w:eastAsia="宋体"/>
      <w:sz w:val="30"/>
      <w:szCs w:val="30"/>
    </w:rPr>
  </w:style>
  <w:style w:type="paragraph" w:styleId="6">
    <w:name w:val="Balloon Text"/>
    <w:basedOn w:val="1"/>
    <w:link w:val="25"/>
    <w:semiHidden/>
    <w:unhideWhenUsed/>
    <w:qFormat/>
    <w:uiPriority w:val="99"/>
    <w:rPr>
      <w:sz w:val="18"/>
      <w:szCs w:val="18"/>
    </w:rPr>
  </w:style>
  <w:style w:type="paragraph" w:styleId="7">
    <w:name w:val="footer"/>
    <w:basedOn w:val="1"/>
    <w:link w:val="22"/>
    <w:autoRedefine/>
    <w:unhideWhenUsed/>
    <w:qFormat/>
    <w:uiPriority w:val="99"/>
    <w:pPr>
      <w:tabs>
        <w:tab w:val="center" w:pos="4153"/>
        <w:tab w:val="right" w:pos="8306"/>
      </w:tabs>
      <w:snapToGrid w:val="0"/>
    </w:pPr>
    <w:rPr>
      <w:sz w:val="18"/>
      <w:szCs w:val="18"/>
    </w:rPr>
  </w:style>
  <w:style w:type="paragraph" w:styleId="8">
    <w:name w:val="header"/>
    <w:basedOn w:val="1"/>
    <w:link w:val="2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autoRedefine/>
    <w:semiHidden/>
    <w:unhideWhenUsed/>
    <w:qFormat/>
    <w:uiPriority w:val="99"/>
    <w:pPr>
      <w:snapToGrid w:val="0"/>
    </w:pPr>
    <w:rPr>
      <w:sz w:val="18"/>
    </w:rPr>
  </w:style>
  <w:style w:type="table" w:styleId="11">
    <w:name w:val="Table Grid"/>
    <w:basedOn w:val="1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styleId="15">
    <w:name w:val="footnote reference"/>
    <w:basedOn w:val="12"/>
    <w:autoRedefine/>
    <w:semiHidden/>
    <w:unhideWhenUsed/>
    <w:qFormat/>
    <w:uiPriority w:val="99"/>
    <w:rPr>
      <w:vertAlign w:val="superscript"/>
    </w:rPr>
  </w:style>
  <w:style w:type="paragraph" w:customStyle="1" w:styleId="16">
    <w:name w:val="段"/>
    <w:next w:val="1"/>
    <w:autoRedefine/>
    <w:qFormat/>
    <w:uiPriority w:val="0"/>
    <w:pPr>
      <w:autoSpaceDE w:val="0"/>
      <w:autoSpaceDN w:val="0"/>
      <w:ind w:firstLine="200"/>
      <w:jc w:val="both"/>
    </w:pPr>
    <w:rPr>
      <w:rFonts w:ascii="宋体" w:hAnsi="Times New Roman" w:eastAsia="宋体" w:cs="Times New Roman"/>
      <w:sz w:val="21"/>
      <w:szCs w:val="22"/>
      <w:lang w:val="en-US" w:eastAsia="zh-CN" w:bidi="ar-SA"/>
    </w:rPr>
  </w:style>
  <w:style w:type="table" w:customStyle="1" w:styleId="17">
    <w:name w:val="Table Normal"/>
    <w:autoRedefine/>
    <w:semiHidden/>
    <w:unhideWhenUsed/>
    <w:qFormat/>
    <w:uiPriority w:val="2"/>
    <w:tblPr>
      <w:tblCellMar>
        <w:top w:w="0" w:type="dxa"/>
        <w:left w:w="0" w:type="dxa"/>
        <w:bottom w:w="0" w:type="dxa"/>
        <w:right w:w="0" w:type="dxa"/>
      </w:tblCellMar>
    </w:tblPr>
  </w:style>
  <w:style w:type="paragraph" w:styleId="18">
    <w:name w:val="List Paragraph"/>
    <w:basedOn w:val="1"/>
    <w:autoRedefine/>
    <w:qFormat/>
    <w:uiPriority w:val="1"/>
  </w:style>
  <w:style w:type="paragraph" w:customStyle="1" w:styleId="19">
    <w:name w:val="Table Paragraph"/>
    <w:basedOn w:val="1"/>
    <w:autoRedefine/>
    <w:qFormat/>
    <w:uiPriority w:val="1"/>
  </w:style>
  <w:style w:type="paragraph" w:customStyle="1" w:styleId="20">
    <w:name w:val="Default"/>
    <w:autoRedefine/>
    <w:qFormat/>
    <w:uiPriority w:val="0"/>
    <w:pPr>
      <w:widowControl w:val="0"/>
      <w:autoSpaceDE w:val="0"/>
      <w:autoSpaceDN w:val="0"/>
      <w:adjustRightInd w:val="0"/>
    </w:pPr>
    <w:rPr>
      <w:rFonts w:ascii="方正黑体_GBK" w:hAnsi="方正黑体_GBK" w:cs="方正黑体_GBK" w:eastAsiaTheme="minorEastAsia"/>
      <w:color w:val="000000"/>
      <w:sz w:val="24"/>
      <w:szCs w:val="24"/>
      <w:lang w:val="en-US" w:eastAsia="en-US" w:bidi="ar-SA"/>
    </w:rPr>
  </w:style>
  <w:style w:type="character" w:customStyle="1" w:styleId="21">
    <w:name w:val="页眉 Char"/>
    <w:basedOn w:val="12"/>
    <w:link w:val="8"/>
    <w:autoRedefine/>
    <w:qFormat/>
    <w:uiPriority w:val="99"/>
    <w:rPr>
      <w:sz w:val="18"/>
      <w:szCs w:val="18"/>
    </w:rPr>
  </w:style>
  <w:style w:type="character" w:customStyle="1" w:styleId="22">
    <w:name w:val="页脚 Char"/>
    <w:basedOn w:val="12"/>
    <w:link w:val="7"/>
    <w:autoRedefine/>
    <w:qFormat/>
    <w:uiPriority w:val="99"/>
    <w:rPr>
      <w:sz w:val="18"/>
      <w:szCs w:val="18"/>
    </w:rPr>
  </w:style>
  <w:style w:type="paragraph" w:customStyle="1" w:styleId="23">
    <w:name w:val="正文-闻政"/>
    <w:next w:val="1"/>
    <w:autoRedefine/>
    <w:qFormat/>
    <w:uiPriority w:val="0"/>
    <w:pPr>
      <w:spacing w:line="500" w:lineRule="exact"/>
      <w:ind w:firstLine="200" w:firstLineChars="200"/>
    </w:pPr>
    <w:rPr>
      <w:rFonts w:eastAsia="仿宋_GB2312" w:asciiTheme="minorHAnsi" w:hAnsiTheme="minorHAnsi" w:cstheme="minorBidi"/>
      <w:kern w:val="2"/>
      <w:sz w:val="28"/>
      <w:szCs w:val="22"/>
      <w:lang w:val="en-US" w:eastAsia="zh-CN" w:bidi="ar-SA"/>
    </w:rPr>
  </w:style>
  <w:style w:type="paragraph" w:customStyle="1" w:styleId="24">
    <w:name w:val="闻政标题5"/>
    <w:basedOn w:val="1"/>
    <w:qFormat/>
    <w:uiPriority w:val="0"/>
    <w:pPr>
      <w:spacing w:before="120" w:after="60" w:line="500" w:lineRule="exact"/>
      <w:ind w:firstLine="200" w:firstLineChars="200"/>
    </w:pPr>
    <w:rPr>
      <w:rFonts w:eastAsia="仿宋_GB2312"/>
      <w:b/>
      <w:sz w:val="28"/>
      <w:szCs w:val="28"/>
    </w:rPr>
  </w:style>
  <w:style w:type="character" w:customStyle="1" w:styleId="25">
    <w:name w:val="批注框文本 Char"/>
    <w:basedOn w:val="12"/>
    <w:link w:val="6"/>
    <w:semiHidden/>
    <w:qFormat/>
    <w:uiPriority w:val="99"/>
    <w:rPr>
      <w:rFonts w:asciiTheme="minorHAnsi" w:hAnsiTheme="minorHAnsi" w:eastAsiaTheme="minorEastAsia" w:cstheme="minorBidi"/>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da4cc577-2dc2-4394-a257-8a962154b7d0</errorID>
      <errorWord>-</errorWord>
      <group>L1_Format</group>
      <groupName>格式问题</groupName>
      <ability>L2_HalfPunc</ability>
      <abilityName>全半角检查</abilityName>
      <candidateList>
        <item>－</item>
      </candidateList>
      <explain>文本全半角错误。</explain>
      <paraID>57A0AA36</paraID>
      <start>31</start>
      <end>32</end>
      <status>ignored</status>
      <modifiedWord/>
      <trackRevisions>false</trackRevisions>
    </reviewItem>
    <reviewItem>
      <errorID>1d5fd191-f8d8-4919-8cc3-ef4f03e59268</errorID>
      <errorWord>-</errorWord>
      <group>L1_Format</group>
      <groupName>格式问题</groupName>
      <ability>L2_HalfPunc</ability>
      <abilityName>全半角检查</abilityName>
      <candidateList>
        <item>－</item>
      </candidateList>
      <explain>文本全半角错误。</explain>
      <paraID>57A0AA36</paraID>
      <start>50</start>
      <end>51</end>
      <status>ignored</status>
      <modifiedWord/>
      <trackRevisions>false</trackRevisions>
    </reviewItem>
    <reviewItem>
      <errorID>c78e043a-2086-487c-8e6a-23b0fd15562f</errorID>
      <errorWord>&lt;</errorWord>
      <group>L1_Format</group>
      <groupName>格式问题</groupName>
      <ability>L2_HalfPunc</ability>
      <abilityName>全半角检查</abilityName>
      <candidateList>
        <item>〈</item>
      </candidateList>
      <explain>文本全半角错误。</explain>
      <paraID>41C46CD1</paraID>
      <start>11</start>
      <end>12</end>
      <status>ignored</status>
      <modifiedWord/>
      <trackRevisions>false</trackRevisions>
    </reviewItem>
    <reviewItem>
      <errorID>fee1d6d3-eb62-4c86-b1e6-4a9221cd80a1</errorID>
      <errorWord>&gt;的通知》</errorWord>
      <group>L1_Punc</group>
      <groupName>标点问题</groupName>
      <ability>L2_Punc</ability>
      <abilityName>标点符号检查</abilityName>
      <candidateList>
        <item>〉的通知》</item>
      </candidateList>
      <explain/>
      <paraID>41C46CD1</paraID>
      <start>30</start>
      <end>35</end>
      <status>ignored</status>
      <modifiedWord/>
      <trackRevisions>false</trackRevisions>
    </reviewItem>
    <reviewItem>
      <errorID>881f9bed-9e90-4786-96c7-d2ca4c1fb47a</errorID>
      <errorWord>&lt;</errorWord>
      <group>L1_Format</group>
      <groupName>格式问题</groupName>
      <ability>L2_HalfPunc</ability>
      <abilityName>全半角检查</abilityName>
      <candidateList>
        <item>〈</item>
      </candidateList>
      <explain>文本全半角错误。</explain>
      <paraID>122647C2</paraID>
      <start>58</start>
      <end>59</end>
      <status>modified</status>
      <modifiedWord>〈</modifiedWord>
      <trackRevisions>false</trackRevisions>
    </reviewItem>
    <reviewItem>
      <errorID>37647bfa-192c-443d-9e94-f595980ad57f</errorID>
      <errorWord>&gt;的通知》</errorWord>
      <group>L1_Punc</group>
      <groupName>标点问题</groupName>
      <ability>L2_Punc</ability>
      <abilityName>标点符号检查</abilityName>
      <candidateList>
        <item>〉的通知》</item>
      </candidateList>
      <explain/>
      <paraID>122647C2</paraID>
      <start>77</start>
      <end>82</end>
      <status>modified</status>
      <modifiedWord>〉的通知》</modifiedWord>
      <trackRevisions>false</trackRevisions>
    </reviewItem>
    <reviewItem>
      <errorID>6b07fa8f-6e54-4ca1-8e30-9b1f8bac1091</errorID>
      <errorWord>(</errorWord>
      <group>L1_Format</group>
      <groupName>格式问题</groupName>
      <ability>L2_HalfPunc</ability>
      <abilityName>全半角检查</abilityName>
      <candidateList>
        <item>（</item>
      </candidateList>
      <explain>文本全半角错误。</explain>
      <paraID>122647C2</paraID>
      <start>82</start>
      <end>83</end>
      <status>modified</status>
      <modifiedWord>（</modifiedWord>
      <trackRevisions>false</trackRevisions>
    </reviewItem>
    <reviewItem>
      <errorID>6efa8635-b1d6-4d91-83e0-340288bb2085</errorID>
      <errorWord>)</errorWord>
      <group>L1_Format</group>
      <groupName>格式问题</groupName>
      <ability>L2_HalfPunc</ability>
      <abilityName>全半角检查</abilityName>
      <candidateList>
        <item>）</item>
      </candidateList>
      <explain>文本全半角错误。</explain>
      <paraID>122647C2</paraID>
      <start>95</start>
      <end>96</end>
      <status>modified</status>
      <modifiedWord>）</modifiedWord>
      <trackRevisions>false</trackRevisions>
    </reviewItem>
    <reviewItem>
      <errorID>eae29f91-01de-4936-9f5e-58a509a0cf15</errorID>
      <errorWord>苏州苏州</errorWord>
      <group>L1_Word</group>
      <groupName>字词问题</groupName>
      <ability>L2_Typo</ability>
      <abilityName>字词错误</abilityName>
      <candidateList>
        <item>苏州</item>
      </candidateList>
      <explain/>
      <paraID>5926E479</paraID>
      <start>0</start>
      <end>2</end>
      <status>modified</status>
      <modifiedWord>苏州</modifiedWord>
      <trackRevisions>false</trackRevisions>
    </reviewItem>
    <reviewItem>
      <errorID>618374f9-9554-41d9-8820-3b5329216d42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64822E52</paraID>
      <start>0</start>
      <end>2</end>
      <status>modified</status>
      <modifiedWord>1.</modifiedWord>
      <trackRevisions>false</trackRevisions>
    </reviewItem>
    <reviewItem>
      <errorID>7ecc9f6d-9c84-4716-8cf7-4b814b08a60b</errorID>
      <errorWord>&lt;</errorWord>
      <group>L1_Format</group>
      <groupName>格式问题</groupName>
      <ability>L2_HalfPunc</ability>
      <abilityName>全半角检查</abilityName>
      <candidateList>
        <item>〈</item>
      </candidateList>
      <explain>文本全半角错误。</explain>
      <paraID>2D602E7E</paraID>
      <start>42</start>
      <end>43</end>
      <status>modified</status>
      <modifiedWord>〈</modifiedWord>
      <trackRevisions>false</trackRevisions>
    </reviewItem>
    <reviewItem>
      <errorID>c1abafe2-b4e8-4b29-859a-049bdbd540c8</errorID>
      <errorWord>&gt;的通知》</errorWord>
      <group>L1_Punc</group>
      <groupName>标点问题</groupName>
      <ability>L2_Punc</ability>
      <abilityName>标点符号检查</abilityName>
      <candidateList>
        <item>〉的通知》</item>
      </candidateList>
      <explain/>
      <paraID>2D602E7E</paraID>
      <start>53</start>
      <end>58</end>
      <status>modified</status>
      <modifiedWord>〉的通知》</modifiedWord>
      <trackRevisions>false</trackRevisions>
    </reviewItem>
    <reviewItem>
      <errorID>e995522c-9804-435e-8fcc-2c5bc71669cb</errorID>
      <errorWord>&lt;</errorWord>
      <group>L1_Format</group>
      <groupName>格式问题</groupName>
      <ability>L2_HalfPunc</ability>
      <abilityName>全半角检查</abilityName>
      <candidateList>
        <item>〈</item>
      </candidateList>
      <explain>文本全半角错误。</explain>
      <paraID>2D602E7E</paraID>
      <start>80</start>
      <end>81</end>
      <status>modified</status>
      <modifiedWord>〈</modifiedWord>
      <trackRevisions>false</trackRevisions>
    </reviewItem>
    <reviewItem>
      <errorID>36d2332e-cc73-4870-b958-ada4f7bc9ccb</errorID>
      <errorWord>&gt;的通知》</errorWord>
      <group>L1_Punc</group>
      <groupName>标点问题</groupName>
      <ability>L2_Punc</ability>
      <abilityName>标点符号检查</abilityName>
      <candidateList>
        <item>〉的通知》</item>
      </candidateList>
      <explain/>
      <paraID>2D602E7E</paraID>
      <start>96</start>
      <end>101</end>
      <status>modified</status>
      <modifiedWord>〉的通知》</modifiedWord>
      <trackRevisions>false</trackRevisions>
    </reviewItem>
    <reviewItem>
      <errorID>df3ed243-6a48-4259-a33c-01a9ea9af396</errorID>
      <errorWord>&lt;</errorWord>
      <group>L1_Format</group>
      <groupName>格式问题</groupName>
      <ability>L2_HalfPunc</ability>
      <abilityName>全半角检查</abilityName>
      <candidateList>
        <item>〈</item>
      </candidateList>
      <explain>文本全半角错误。</explain>
      <paraID>2D602E7E</paraID>
      <start>121</start>
      <end>122</end>
      <status>modified</status>
      <modifiedWord>〈</modifiedWord>
      <trackRevisions>false</trackRevisions>
    </reviewItem>
    <reviewItem>
      <errorID>bc5221a3-120d-4e66-84a5-4ab49483319e</errorID>
      <errorWord>&gt;的通知》</errorWord>
      <group>L1_Punc</group>
      <groupName>标点问题</groupName>
      <ability>L2_Punc</ability>
      <abilityName>标点符号检查</abilityName>
      <candidateList>
        <item>〉的通知》</item>
      </candidateList>
      <explain/>
      <paraID>2D602E7E</paraID>
      <start>137</start>
      <end>142</end>
      <status>modified</status>
      <modifiedWord>〉的通知》</modifiedWord>
      <trackRevisions>false</trackRevisions>
    </reviewItem>
    <reviewItem>
      <errorID>01a2cd9d-4652-4d99-8dfe-c211f84fd65b</errorID>
      <errorWord>(</errorWord>
      <group>L1_Format</group>
      <groupName>格式问题</groupName>
      <ability>L2_HalfPunc</ability>
      <abilityName>全半角检查</abilityName>
      <candidateList>
        <item>（</item>
      </candidateList>
      <explain>文本全半角错误。</explain>
      <paraID>2D602E7E</paraID>
      <start>190</start>
      <end>191</end>
      <status>modified</status>
      <modifiedWord>（</modifiedWord>
      <trackRevisions>false</trackRevisions>
    </reviewItem>
    <reviewItem>
      <errorID>477937ee-4b65-496e-b629-0296271b04d2</errorID>
      <errorWord>)</errorWord>
      <group>L1_Format</group>
      <groupName>格式问题</groupName>
      <ability>L2_HalfPunc</ability>
      <abilityName>全半角检查</abilityName>
      <candidateList>
        <item>）</item>
      </candidateList>
      <explain>文本全半角错误。</explain>
      <paraID>2D602E7E</paraID>
      <start>204</start>
      <end>205</end>
      <status>modified</status>
      <modifiedWord>）</modifiedWord>
      <trackRevisions>false</trackRevisions>
    </reviewItem>
    <reviewItem>
      <errorID>cd49dcd8-1027-4075-9f59-abdd9c90585d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45B18C91</paraID>
      <start>0</start>
      <end>2</end>
      <status>modified</status>
      <modifiedWord>2.</modifiedWord>
      <trackRevisions>false</trackRevisions>
    </reviewItem>
    <reviewItem>
      <errorID>8cc111c5-0fd6-4fd7-a7d7-6a5cb0599f8e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3BF46E1F</paraID>
      <start>75</start>
      <end>77</end>
      <status>modified</status>
      <modifiedWord>》《</modifiedWord>
      <trackRevisions>false</trackRevisions>
    </reviewItem>
    <reviewItem>
      <errorID>e3ff85f8-55be-4840-8c2c-0ef1fa841567</errorID>
      <errorWord>本项目本项目</errorWord>
      <group>L1_Word</group>
      <groupName>字词问题</groupName>
      <ability>L2_Typo</ability>
      <abilityName>字词错误</abilityName>
      <candidateList>
        <item>本项目</item>
      </candidateList>
      <explain/>
      <paraID>3BF46E1F</paraID>
      <start>145</start>
      <end>148</end>
      <status>modified</status>
      <modifiedWord>本项目</modifiedWord>
      <trackRevisions>false</trackRevisions>
    </reviewItem>
    <reviewItem>
      <errorID>699585be-0346-48ad-b3a3-fab683ec4d2c</errorID>
      <errorWord>部份</errorWord>
      <group>L1_Word</group>
      <groupName>字词问题</groupName>
      <ability>L2_Typo</ability>
      <abilityName>字词错误</abilityName>
      <candidateList>
        <item>部分</item>
      </candidateList>
      <explain>〈名〉整体中的局部；整体里的一些个体：检验机器各～的性能｜我校～师生参加了夏令营活动。</explain>
      <paraID>3BF46E1F</paraID>
      <start>201</start>
      <end>203</end>
      <status>modified</status>
      <modifiedWord>部分</modifiedWord>
      <trackRevisions>false</trackRevisions>
    </reviewItem>
    <reviewItem>
      <errorID>b70fe1c6-91db-42d4-af8c-f3e687fb0507</errorID>
      <errorWord>己</errorWord>
      <group>L1_Word</group>
      <groupName>字词问题</groupName>
      <ability>L2_Typo</ability>
      <abilityName>字词错误</abilityName>
      <candidateList>
        <item>已</item>
      </candidateList>
      <explain>❶停止：争论不～｜有加无～。❷〈副〉已经（跟“未”相对）：时间～过｜此事～设法解决。❸〈书〉副后来；过了一会儿：～而｜～忽不见。❹〈书〉副太；过：不为～甚。❺（Yǐ）〈名〉姓。</explain>
      <paraID>1128D689</paraID>
      <start>117</start>
      <end>118</end>
      <status>modified</status>
      <modifiedWord>已</modifiedWord>
      <trackRevisions>false</trackRevisions>
    </reviewItem>
    <reviewItem>
      <errorID>28f0c245-6e89-4a77-b2a3-5af23596e757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36FC190</paraID>
      <start>0</start>
      <end>2</end>
      <status>modified</status>
      <modifiedWord>3.</modifiedWord>
      <trackRevisions>false</trackRevisions>
    </reviewItem>
    <reviewItem>
      <errorID>4b78d1d6-c428-4e45-8f88-dbc97eccfccd</errorID>
      <errorWord>：</errorWord>
      <group>L1_Word</group>
      <groupName>字词问题</groupName>
      <ability>L2_Typo</ability>
      <abilityName>字词错误</abilityName>
      <candidateList>
        <item>：目</item>
      </candidateList>
      <explain/>
      <paraID>58880A1C</paraID>
      <start>11</start>
      <end>13</end>
      <status>modified</status>
      <modifiedWord>：目</modifiedWord>
      <trackRevisions>false</trackRevisions>
    </reviewItem>
    <reviewItem>
      <errorID>8ce316d3-6f15-49db-bd8c-aacf97f2ca23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603311C7</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f90b57-4f68-46fe-ac5e-def45c349d7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6425</Words>
  <Characters>7000</Characters>
  <Lines>47</Lines>
  <Paragraphs>13</Paragraphs>
  <TotalTime>11</TotalTime>
  <ScaleCrop>false</ScaleCrop>
  <LinksUpToDate>false</LinksUpToDate>
  <CharactersWithSpaces>7001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2025-02-27T05:51:00Z</dcterms:created>
  <dc:creator>张肖军(拟稿)</dc:creator>
  <cp:lastModifiedBy>DD</cp:lastModifiedBy>
  <cp:lastPrinted>2026-05-07T09:33:00Z</cp:lastPrinted>
  <dcterms:modified xsi:type="dcterms:W3CDTF">2026-06-29T02:46:45Z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2020-09-01T00:00:00Z</vt:filetime>
  </property>
  <property fmtid="{D5CDD505-2E9C-101B-9397-08002B2CF9AE}" pid="3" name="Creator">
    <vt:lpwstr>Adobe Acrobat Pro 11.0.7</vt:lpwstr>
  </property>
  <property fmtid="{D5CDD505-2E9C-101B-9397-08002B2CF9AE}" pid="4" name="LastSaved">
    <vt:filetime>2021-08-19T00:00:00Z</vt:filetime>
  </property>
  <property fmtid="{D5CDD505-2E9C-101B-9397-08002B2CF9AE}" pid="5" name="KSOProductBuildVer">
    <vt:lpwstr>2052-12.1.0.26895</vt:lpwstr>
  </property>
  <property fmtid="{D5CDD505-2E9C-101B-9397-08002B2CF9AE}" pid="6" name="ICV">
    <vt:lpwstr>6110B7415DC740C58185CD86345CBEB1</vt:lpwstr>
  </property>
  <property fmtid="{D5CDD505-2E9C-101B-9397-08002B2CF9AE}" pid="7" name="KSOTemplateDocerSaveRecord">
    <vt:lpwstr>eyJoZGlkIjoiM2FhN2I1ZDU3OTE5YzQ1ODA1OWM4MjY4ZTc0NzVkMTMiLCJ1c2VySWQiOiIzOTYyNjc0MjMifQ==</vt:lpwstr>
  </property>
</Properties>
</file>