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50.0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超标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3E8331C1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02E0D87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2021-09-22T07:33:12Z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267B902C586E43579250BC8EAD4EDB14</vt:lpwstr>
  </property>
</Properties>
</file>