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318" w:type="dxa"/>
        <w:tblLook w:val="04A0" w:firstRow="1" w:lastRow="0" w:firstColumn="1" w:lastColumn="0" w:noHBand="0" w:noVBand="1"/>
      </w:tblPr>
      <w:tblGrid>
        <w:gridCol w:w="993"/>
        <w:gridCol w:w="1560"/>
        <w:gridCol w:w="1417"/>
        <w:gridCol w:w="1418"/>
        <w:gridCol w:w="1643"/>
        <w:gridCol w:w="1840"/>
        <w:gridCol w:w="3100"/>
        <w:gridCol w:w="1080"/>
        <w:gridCol w:w="2968"/>
      </w:tblGrid>
      <w:tr w:rsidR="000A4AA0" w:rsidRPr="000A4AA0" w:rsidTr="000A4AA0">
        <w:trPr>
          <w:trHeight w:val="615"/>
        </w:trPr>
        <w:tc>
          <w:tcPr>
            <w:tcW w:w="1601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ind w:rightChars="68" w:right="143"/>
              <w:jc w:val="center"/>
              <w:rPr>
                <w:rFonts w:ascii="Times New Roman" w:eastAsia="宋体" w:hAnsi="Times New Roman" w:cs="Times New Roman"/>
                <w:kern w:val="0"/>
                <w:sz w:val="48"/>
                <w:szCs w:val="48"/>
              </w:rPr>
            </w:pPr>
            <w:r w:rsidRPr="000A4AA0">
              <w:rPr>
                <w:rFonts w:ascii="Times New Roman" w:eastAsia="宋体" w:hAnsi="Times New Roman" w:cs="Times New Roman"/>
                <w:kern w:val="0"/>
                <w:sz w:val="48"/>
                <w:szCs w:val="48"/>
              </w:rPr>
              <w:t xml:space="preserve">     2021</w:t>
            </w:r>
            <w:r>
              <w:rPr>
                <w:rFonts w:ascii="方正小标宋_GBK" w:eastAsia="方正小标宋_GBK" w:hAnsi="Times New Roman" w:cs="Times New Roman" w:hint="eastAsia"/>
                <w:kern w:val="0"/>
                <w:sz w:val="48"/>
                <w:szCs w:val="48"/>
              </w:rPr>
              <w:t>年江苏省危险废物规范化环境管理评估被抽查单位</w:t>
            </w:r>
            <w:r w:rsidRPr="000A4AA0">
              <w:rPr>
                <w:rFonts w:ascii="方正小标宋_GBK" w:eastAsia="方正小标宋_GBK" w:hAnsi="Times New Roman" w:cs="Times New Roman" w:hint="eastAsia"/>
                <w:kern w:val="0"/>
                <w:sz w:val="48"/>
                <w:szCs w:val="48"/>
              </w:rPr>
              <w:t>情况表</w:t>
            </w:r>
          </w:p>
        </w:tc>
      </w:tr>
      <w:tr w:rsidR="000A4AA0" w:rsidRPr="000A4AA0" w:rsidTr="000A4AA0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A4AA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区县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A4AA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A4AA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评估时间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A4AA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单位类型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A4AA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单位基本情况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A4AA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危险废物产生情况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A4AA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评估发现的问题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A4AA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A4AA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整改情况</w:t>
            </w:r>
          </w:p>
        </w:tc>
      </w:tr>
      <w:tr w:rsidR="000A4AA0" w:rsidRPr="000A4AA0" w:rsidTr="000A4AA0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苏州</w:t>
            </w:r>
            <w:proofErr w:type="gramStart"/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伟翔电子</w:t>
            </w:r>
            <w:proofErr w:type="gramEnd"/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废弃物处理技术有限公司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2021.11.24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经营单位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利用能力3170吨/年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主要产生有机树脂类废物、含汞废物等危险废物。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危废仓库</w:t>
            </w:r>
            <w:proofErr w:type="gramEnd"/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标志牌上无二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维码标志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达标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已完成：</w:t>
            </w:r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公司于2021年11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月底</w:t>
            </w:r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已按照公司环</w:t>
            </w:r>
            <w:proofErr w:type="gramStart"/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评要求</w:t>
            </w:r>
            <w:proofErr w:type="gramEnd"/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如实在江苏省危险废物全生命周期系统上申报贮存设施信息，每</w:t>
            </w:r>
            <w:proofErr w:type="gramStart"/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一个危废仓库</w:t>
            </w:r>
            <w:proofErr w:type="gramEnd"/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门口都按要求张贴好了带</w:t>
            </w:r>
            <w:proofErr w:type="gramStart"/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二维码的</w:t>
            </w:r>
            <w:proofErr w:type="gramEnd"/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标识牌。</w:t>
            </w:r>
          </w:p>
        </w:tc>
      </w:tr>
      <w:tr w:rsidR="000A4AA0" w:rsidRPr="000A4AA0" w:rsidTr="000A4AA0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苏州市晶协高新电子材料有限公司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2021.11.24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经营单位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利用能力3230吨/年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主要产生蒸馏残渣、污泥等危险废物。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部分危废包装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标志标识牌信息不全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达标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已完成：</w:t>
            </w:r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已通知</w:t>
            </w:r>
            <w:proofErr w:type="gramStart"/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所有产废单位</w:t>
            </w:r>
            <w:proofErr w:type="gramEnd"/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，使用系统内导出的带二</w:t>
            </w:r>
            <w:proofErr w:type="gramStart"/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维码的危废</w:t>
            </w:r>
            <w:proofErr w:type="gramEnd"/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标签。未张贴带有</w:t>
            </w:r>
            <w:proofErr w:type="gramStart"/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二维码标签</w:t>
            </w:r>
            <w:proofErr w:type="gramEnd"/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的危废，将不再接收。</w:t>
            </w:r>
          </w:p>
        </w:tc>
      </w:tr>
      <w:tr w:rsidR="000A4AA0" w:rsidRPr="000A4AA0" w:rsidTr="000A4AA0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苏州新区环保服务中心有限公司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2021.11.24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经营单位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焚烧能力31500吨/年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主要产生焚烧炉渣、飞灰、二效蒸发残渣、废耐火材料、实验室废液、废活性炭等危险废物。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应急预案备案过期，新预案尚未备案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达标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A0" w:rsidRPr="000A4AA0" w:rsidRDefault="000A4AA0" w:rsidP="000A4A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已完成：</w:t>
            </w:r>
            <w:r w:rsidRPr="000A4A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公司最新版的应急预案于2021年11月完成了修订，并于11月24日备案至高新区生态环境局。</w:t>
            </w:r>
            <w:bookmarkStart w:id="0" w:name="_GoBack"/>
            <w:bookmarkEnd w:id="0"/>
          </w:p>
        </w:tc>
      </w:tr>
    </w:tbl>
    <w:p w:rsidR="00771BE5" w:rsidRDefault="00771BE5"/>
    <w:sectPr w:rsidR="00771BE5" w:rsidSect="000A4AA0">
      <w:pgSz w:w="16839" w:h="11907" w:orient="landscape" w:code="9"/>
      <w:pgMar w:top="1588" w:right="1134" w:bottom="1361" w:left="1134" w:header="567" w:footer="51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0"/>
  <w:drawingGridVerticalSpacing w:val="13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A2"/>
    <w:rsid w:val="000242A2"/>
    <w:rsid w:val="000A4AA0"/>
    <w:rsid w:val="00771BE5"/>
    <w:rsid w:val="00CA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</dc:creator>
  <cp:keywords/>
  <dc:description/>
  <cp:lastModifiedBy>mao</cp:lastModifiedBy>
  <cp:revision>2</cp:revision>
  <dcterms:created xsi:type="dcterms:W3CDTF">2023-03-15T05:42:00Z</dcterms:created>
  <dcterms:modified xsi:type="dcterms:W3CDTF">2023-03-15T05:44:00Z</dcterms:modified>
</cp:coreProperties>
</file>