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AF" w:rsidRPr="00355903" w:rsidRDefault="007429AF" w:rsidP="007429AF">
      <w:pPr>
        <w:snapToGrid w:val="0"/>
        <w:spacing w:line="160" w:lineRule="atLeast"/>
        <w:ind w:right="238"/>
        <w:rPr>
          <w:rFonts w:ascii="仿宋_GB2312"/>
          <w:bCs/>
          <w:color w:val="000000"/>
          <w:spacing w:val="-4"/>
          <w:kern w:val="32"/>
          <w:sz w:val="30"/>
          <w:szCs w:val="30"/>
        </w:rPr>
      </w:pPr>
      <w:r w:rsidRPr="00355903">
        <w:rPr>
          <w:rFonts w:ascii="仿宋_GB2312" w:hint="eastAsia"/>
          <w:bCs/>
          <w:color w:val="000000"/>
          <w:spacing w:val="-4"/>
          <w:kern w:val="32"/>
          <w:sz w:val="30"/>
          <w:szCs w:val="30"/>
        </w:rPr>
        <w:t>附件：</w:t>
      </w:r>
    </w:p>
    <w:p w:rsidR="007429AF" w:rsidRPr="00355903" w:rsidRDefault="007429AF" w:rsidP="007429AF">
      <w:pPr>
        <w:widowControl/>
        <w:snapToGrid w:val="0"/>
        <w:spacing w:line="160" w:lineRule="atLeast"/>
        <w:ind w:leftChars="44" w:left="141" w:rightChars="57" w:right="182"/>
        <w:jc w:val="center"/>
        <w:rPr>
          <w:rFonts w:ascii="仿宋_GB2312"/>
          <w:bCs/>
          <w:color w:val="000000"/>
          <w:spacing w:val="-4"/>
          <w:kern w:val="32"/>
          <w:sz w:val="30"/>
          <w:szCs w:val="30"/>
        </w:rPr>
      </w:pPr>
      <w:r w:rsidRPr="00355903">
        <w:rPr>
          <w:rFonts w:ascii="仿宋_GB2312" w:hint="eastAsia"/>
          <w:bCs/>
          <w:color w:val="000000"/>
          <w:spacing w:val="-4"/>
          <w:kern w:val="32"/>
          <w:sz w:val="30"/>
          <w:szCs w:val="30"/>
        </w:rPr>
        <w:t>省、市及全市各板块高企培育、国家高</w:t>
      </w:r>
      <w:proofErr w:type="gramStart"/>
      <w:r w:rsidRPr="00355903">
        <w:rPr>
          <w:rFonts w:ascii="仿宋_GB2312" w:hint="eastAsia"/>
          <w:bCs/>
          <w:color w:val="000000"/>
          <w:spacing w:val="-4"/>
          <w:kern w:val="32"/>
          <w:sz w:val="30"/>
          <w:szCs w:val="30"/>
        </w:rPr>
        <w:t>企政策</w:t>
      </w:r>
      <w:proofErr w:type="gramEnd"/>
      <w:r w:rsidRPr="00355903">
        <w:rPr>
          <w:rFonts w:ascii="仿宋_GB2312" w:hint="eastAsia"/>
          <w:bCs/>
          <w:color w:val="000000"/>
          <w:spacing w:val="-4"/>
          <w:kern w:val="32"/>
          <w:sz w:val="30"/>
          <w:szCs w:val="30"/>
        </w:rPr>
        <w:t>汇总（参考）</w:t>
      </w:r>
    </w:p>
    <w:tbl>
      <w:tblPr>
        <w:tblStyle w:val="a5"/>
        <w:tblW w:w="1555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88"/>
        <w:gridCol w:w="992"/>
        <w:gridCol w:w="1276"/>
        <w:gridCol w:w="1275"/>
        <w:gridCol w:w="1418"/>
        <w:gridCol w:w="1417"/>
        <w:gridCol w:w="1701"/>
        <w:gridCol w:w="1246"/>
        <w:gridCol w:w="1276"/>
        <w:gridCol w:w="1276"/>
        <w:gridCol w:w="992"/>
        <w:gridCol w:w="1134"/>
      </w:tblGrid>
      <w:tr w:rsidR="007429AF" w:rsidRPr="00355903" w:rsidTr="00577637">
        <w:trPr>
          <w:trHeight w:val="440"/>
          <w:jc w:val="center"/>
        </w:trPr>
        <w:tc>
          <w:tcPr>
            <w:tcW w:w="567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Cs/>
                <w:snapToGrid w:val="0"/>
                <w:color w:val="000000"/>
                <w:spacing w:val="-20"/>
                <w:kern w:val="10"/>
                <w:position w:val="2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color w:val="000000"/>
                <w:spacing w:val="-20"/>
                <w:kern w:val="10"/>
                <w:position w:val="2"/>
                <w:sz w:val="30"/>
                <w:szCs w:val="30"/>
              </w:rPr>
              <w:t>地区</w:t>
            </w:r>
          </w:p>
        </w:tc>
        <w:tc>
          <w:tcPr>
            <w:tcW w:w="988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省级</w:t>
            </w:r>
          </w:p>
        </w:tc>
        <w:tc>
          <w:tcPr>
            <w:tcW w:w="992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市级</w:t>
            </w:r>
          </w:p>
        </w:tc>
        <w:tc>
          <w:tcPr>
            <w:tcW w:w="1276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bCs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工业园区</w:t>
            </w:r>
          </w:p>
        </w:tc>
        <w:tc>
          <w:tcPr>
            <w:tcW w:w="1275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昆山市</w:t>
            </w:r>
          </w:p>
        </w:tc>
        <w:tc>
          <w:tcPr>
            <w:tcW w:w="1418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张家港市</w:t>
            </w:r>
          </w:p>
        </w:tc>
        <w:tc>
          <w:tcPr>
            <w:tcW w:w="1417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常熟市</w:t>
            </w:r>
          </w:p>
        </w:tc>
        <w:tc>
          <w:tcPr>
            <w:tcW w:w="1701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太仓市</w:t>
            </w:r>
          </w:p>
        </w:tc>
        <w:tc>
          <w:tcPr>
            <w:tcW w:w="1246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吴江区</w:t>
            </w:r>
          </w:p>
        </w:tc>
        <w:tc>
          <w:tcPr>
            <w:tcW w:w="1276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吴中区</w:t>
            </w:r>
          </w:p>
        </w:tc>
        <w:tc>
          <w:tcPr>
            <w:tcW w:w="1276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相城区</w:t>
            </w:r>
          </w:p>
        </w:tc>
        <w:tc>
          <w:tcPr>
            <w:tcW w:w="992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姑苏区</w:t>
            </w:r>
          </w:p>
        </w:tc>
        <w:tc>
          <w:tcPr>
            <w:tcW w:w="1134" w:type="dxa"/>
            <w:vAlign w:val="center"/>
          </w:tcPr>
          <w:p w:rsidR="007429AF" w:rsidRPr="00355903" w:rsidRDefault="007429AF" w:rsidP="00577637">
            <w:pPr>
              <w:snapToGrid w:val="0"/>
              <w:ind w:right="238"/>
              <w:jc w:val="center"/>
              <w:rPr>
                <w:rFonts w:ascii="仿宋_GB2312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spacing w:val="-20"/>
                <w:kern w:val="10"/>
                <w:position w:val="-6"/>
                <w:sz w:val="30"/>
                <w:szCs w:val="30"/>
              </w:rPr>
              <w:t>高新区</w:t>
            </w:r>
          </w:p>
        </w:tc>
      </w:tr>
      <w:tr w:rsidR="007429AF" w:rsidRPr="00355903" w:rsidTr="00577637">
        <w:trPr>
          <w:trHeight w:val="4188"/>
          <w:jc w:val="center"/>
        </w:trPr>
        <w:tc>
          <w:tcPr>
            <w:tcW w:w="567" w:type="dxa"/>
            <w:vAlign w:val="center"/>
          </w:tcPr>
          <w:p w:rsidR="007429AF" w:rsidRPr="00355903" w:rsidRDefault="007429AF" w:rsidP="00577637">
            <w:pPr>
              <w:adjustRightInd w:val="0"/>
              <w:snapToGrid w:val="0"/>
              <w:spacing w:line="160" w:lineRule="atLeast"/>
              <w:ind w:right="238"/>
              <w:jc w:val="center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30"/>
                <w:szCs w:val="30"/>
              </w:rPr>
            </w:pPr>
            <w:r w:rsidRPr="00355903">
              <w:rPr>
                <w:rFonts w:ascii="仿宋_GB2312" w:hint="eastAsia"/>
                <w:b/>
                <w:snapToGrid w:val="0"/>
                <w:color w:val="000000"/>
                <w:spacing w:val="-20"/>
                <w:kern w:val="10"/>
                <w:position w:val="2"/>
                <w:sz w:val="30"/>
                <w:szCs w:val="30"/>
              </w:rPr>
              <w:t>高企培育政策</w:t>
            </w:r>
          </w:p>
        </w:tc>
        <w:tc>
          <w:tcPr>
            <w:tcW w:w="988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与各设区市、县（市、区）按照联动的原则，给予一次性奖励5万元</w:t>
            </w:r>
          </w:p>
        </w:tc>
        <w:tc>
          <w:tcPr>
            <w:tcW w:w="992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入苏州市高企培育</w:t>
            </w:r>
            <w:proofErr w:type="gramStart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库企业</w:t>
            </w:r>
            <w:proofErr w:type="gramEnd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于入库当年给予一次性最高 10 万元</w:t>
            </w:r>
            <w:proofErr w:type="gramStart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的奖补</w:t>
            </w:r>
            <w:proofErr w:type="gramEnd"/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另：对纳入省级</w:t>
            </w:r>
            <w:bookmarkStart w:id="0" w:name="_GoBack"/>
            <w:bookmarkEnd w:id="0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 xml:space="preserve">、市级和园区高新技术企业培育库的企业，给予20万元入库奖励 </w:t>
            </w:r>
          </w:p>
        </w:tc>
        <w:tc>
          <w:tcPr>
            <w:tcW w:w="1275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（财政单列，不享受市高企培育奖励政策）；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对当年纳入高企培育入库的企业给予5万元奖励</w:t>
            </w:r>
          </w:p>
        </w:tc>
        <w:tc>
          <w:tcPr>
            <w:tcW w:w="1418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（财政单列，不享受市高企培育奖励政策）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发放企业创新积分</w:t>
            </w:r>
            <w:proofErr w:type="gramStart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券</w:t>
            </w:r>
            <w:proofErr w:type="gramEnd"/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申报高企培育入库企业计10积分/家；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纳入高企培育库的企业再计10积分/家（1积分等于2000元）。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（即新申报入库企业给予2万元奖励，新认定入库企业给予4万元）</w:t>
            </w:r>
          </w:p>
        </w:tc>
        <w:tc>
          <w:tcPr>
            <w:tcW w:w="1417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（财政单列，不享受市高企培育奖励政策）。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对纳入苏州市高企培育库的企业，给予上年度研发后补助最多5万元奖励；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对纳入江苏省高企培育库的企业，按照省级有关政策给予奖励。</w:t>
            </w:r>
          </w:p>
        </w:tc>
        <w:tc>
          <w:tcPr>
            <w:tcW w:w="1701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(财政单列，不享受市高企培育奖励政策)。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对纳入太仓市高企培育库的企业，按每一纳税年度符合税收规定的研究开发费用加计扣除额的5%给予奖励，最高20万元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首次申报江苏省高企培育库企业，给予3万元奖励；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纳入江苏省高企培育库的企业，按</w:t>
            </w:r>
            <w:proofErr w:type="gramStart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省支持</w:t>
            </w:r>
            <w:proofErr w:type="gramEnd"/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标准给予1:1配套奖励，最高5万元</w:t>
            </w:r>
          </w:p>
        </w:tc>
        <w:tc>
          <w:tcPr>
            <w:tcW w:w="124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对当年新认定的省（市）高新技术培育入库企业，每家补助5万元</w:t>
            </w:r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当年申报入库培育的企业，给予1万元的奖励，对于入库培育的企业给予5万元的培育资金</w:t>
            </w:r>
          </w:p>
        </w:tc>
        <w:tc>
          <w:tcPr>
            <w:tcW w:w="992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</w:t>
            </w:r>
          </w:p>
        </w:tc>
        <w:tc>
          <w:tcPr>
            <w:tcW w:w="1134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按苏州市和江苏省的高企培育入库政策执行；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rFonts w:ascii="仿宋_GB2312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</w:pPr>
            <w:r w:rsidRPr="007429AF">
              <w:rPr>
                <w:rFonts w:ascii="仿宋_GB2312"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30"/>
              </w:rPr>
              <w:t>另：当年申报入库培育的企业，给予1万元的奖励，纳入省库培育企业给予5万元的培育资金</w:t>
            </w:r>
          </w:p>
        </w:tc>
      </w:tr>
      <w:tr w:rsidR="007429AF" w:rsidRPr="007429AF" w:rsidTr="00577637">
        <w:trPr>
          <w:trHeight w:val="3941"/>
          <w:jc w:val="center"/>
        </w:trPr>
        <w:tc>
          <w:tcPr>
            <w:tcW w:w="567" w:type="dxa"/>
            <w:vAlign w:val="center"/>
          </w:tcPr>
          <w:p w:rsidR="007429AF" w:rsidRPr="007429AF" w:rsidRDefault="007429AF" w:rsidP="00577637">
            <w:pPr>
              <w:adjustRightInd w:val="0"/>
              <w:snapToGrid w:val="0"/>
              <w:spacing w:line="160" w:lineRule="atLeast"/>
              <w:ind w:right="238"/>
              <w:jc w:val="center"/>
              <w:rPr>
                <w:snapToGrid w:val="0"/>
                <w:color w:val="000000"/>
                <w:spacing w:val="-20"/>
                <w:kern w:val="10"/>
                <w:position w:val="2"/>
                <w:sz w:val="28"/>
                <w:szCs w:val="24"/>
              </w:rPr>
            </w:pPr>
            <w:r w:rsidRPr="007429AF">
              <w:rPr>
                <w:b/>
                <w:snapToGrid w:val="0"/>
                <w:color w:val="000000"/>
                <w:spacing w:val="-20"/>
                <w:kern w:val="10"/>
                <w:position w:val="2"/>
                <w:sz w:val="28"/>
                <w:szCs w:val="24"/>
              </w:rPr>
              <w:lastRenderedPageBreak/>
              <w:t>国家高企奖励政策</w:t>
            </w:r>
          </w:p>
        </w:tc>
        <w:tc>
          <w:tcPr>
            <w:tcW w:w="988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与各设区市、县（市、区）按照联动的原则，给予入库培育首次认定为高新技术企业的企业不低于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30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万元的培育奖励，其中省级奖励额度不低于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万元。</w:t>
            </w:r>
          </w:p>
        </w:tc>
        <w:tc>
          <w:tcPr>
            <w:tcW w:w="992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对在培育期内通过高新技术企业认定的入库企业给予一次性最高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 xml:space="preserve"> 20 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万元的奖补，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 xml:space="preserve"> 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同一企业</w:t>
            </w:r>
            <w:proofErr w:type="gramStart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入库奖补和认定奖补合计</w:t>
            </w:r>
            <w:proofErr w:type="gramEnd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不超过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 xml:space="preserve"> 30 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对首次申报认定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的国家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万元认定奖励；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对有效期满重新申报认定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的国家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万元认定奖励</w:t>
            </w:r>
          </w:p>
        </w:tc>
        <w:tc>
          <w:tcPr>
            <w:tcW w:w="1275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对未入库直接新认定高新技术企业，给予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对纳入高企培育库的企业在三年培育期内给予最高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万元的培育奖励，其中，入库当年给予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万元奖励，出库时认定为高新技术企业的给予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万元培育经费。</w:t>
            </w:r>
          </w:p>
        </w:tc>
        <w:tc>
          <w:tcPr>
            <w:tcW w:w="1418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发放企业创新积分</w:t>
            </w:r>
            <w:proofErr w:type="gramStart"/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券</w:t>
            </w:r>
            <w:proofErr w:type="gramEnd"/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申报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积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分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/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家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奖励（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积分等于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2000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元）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纳入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40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积分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/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家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积分等于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2000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元）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（即新申报高企给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4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，新认定高企给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8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当年通过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高企认定的企业：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对从省、市高企培育库内认定的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高企：给予最高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万元的研发后补助；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对未经入库培育而首次直接认定的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高企：给予最高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万元的研发后补助；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对重新认定通过的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高企，给予最高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5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万元的研发后补助</w:t>
            </w:r>
          </w:p>
        </w:tc>
        <w:tc>
          <w:tcPr>
            <w:tcW w:w="1701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太仓市高企培育库内企业首次申报国家高企给予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3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当年首次认定的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万元，重新认定通过的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5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另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：太仓高新区：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首次认定高新技术企业的奖励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万元，重新认定通过的国家高企奖励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</w:p>
        </w:tc>
        <w:tc>
          <w:tcPr>
            <w:tcW w:w="124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对在培育期内申报高新技术企业获受理，给予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万元奖励；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首次认定为高新技术企业的奖励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万元（</w:t>
            </w:r>
            <w:proofErr w:type="gramStart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汾</w:t>
            </w:r>
            <w:proofErr w:type="gramEnd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湖地区企业通过高新技术企业认定后可单独获得</w:t>
            </w:r>
            <w:proofErr w:type="gramStart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汾</w:t>
            </w:r>
            <w:proofErr w:type="gramEnd"/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湖区奖励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8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万元）；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重新认定为高新技术企业的奖励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万元。</w:t>
            </w:r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新认定的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高新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技术企业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，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每家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奖励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首次认定的国家高企给予一次性奖励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万元；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对有效期满重新认定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高企的给予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万元认定奖励。（部分街道再增加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20%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的配套奖励）</w:t>
            </w:r>
          </w:p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另：区内科</w:t>
            </w:r>
            <w:proofErr w:type="gramStart"/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技服务</w:t>
            </w:r>
            <w:proofErr w:type="gramEnd"/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机构为区内企业提供高企培育和申报服务的，每成功认定一家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高企或培育企业奖励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 xml:space="preserve"> 2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万元，并同时叠加成功率奖励</w:t>
            </w:r>
          </w:p>
        </w:tc>
        <w:tc>
          <w:tcPr>
            <w:tcW w:w="992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当年首次认定的</w:t>
            </w: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国家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高企奖励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10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</w:p>
        </w:tc>
        <w:tc>
          <w:tcPr>
            <w:tcW w:w="1134" w:type="dxa"/>
            <w:vAlign w:val="center"/>
          </w:tcPr>
          <w:p w:rsidR="007429AF" w:rsidRPr="007429AF" w:rsidRDefault="007429AF" w:rsidP="00577637">
            <w:pPr>
              <w:widowControl/>
              <w:adjustRightInd w:val="0"/>
              <w:snapToGrid w:val="0"/>
              <w:spacing w:line="160" w:lineRule="atLeast"/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</w:pPr>
            <w:r w:rsidRPr="007429AF">
              <w:rPr>
                <w:rFonts w:hint="eastAsia"/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当年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首次认定的国家高企给予一次性奖励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15</w:t>
            </w:r>
            <w:r w:rsidRPr="007429AF">
              <w:rPr>
                <w:snapToGrid w:val="0"/>
                <w:color w:val="000000"/>
                <w:spacing w:val="-20"/>
                <w:kern w:val="10"/>
                <w:position w:val="2"/>
                <w:sz w:val="24"/>
                <w:szCs w:val="24"/>
              </w:rPr>
              <w:t>万元</w:t>
            </w:r>
          </w:p>
        </w:tc>
      </w:tr>
    </w:tbl>
    <w:p w:rsidR="007429AF" w:rsidRPr="00A93A75" w:rsidRDefault="007429AF" w:rsidP="007429AF">
      <w:pPr>
        <w:widowControl/>
        <w:jc w:val="left"/>
        <w:rPr>
          <w:bCs/>
          <w:color w:val="000000"/>
          <w:spacing w:val="-4"/>
          <w:kern w:val="32"/>
          <w:sz w:val="24"/>
          <w:szCs w:val="24"/>
        </w:rPr>
      </w:pPr>
    </w:p>
    <w:p w:rsidR="00D24EBC" w:rsidRPr="007429AF" w:rsidRDefault="00D24EBC"/>
    <w:sectPr w:rsidR="00D24EBC" w:rsidRPr="007429AF" w:rsidSect="004D5DB7">
      <w:pgSz w:w="16838" w:h="11906" w:orient="landscape" w:code="9"/>
      <w:pgMar w:top="1304" w:right="1797" w:bottom="1304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25" w:rsidRDefault="002E0925" w:rsidP="007429AF">
      <w:r>
        <w:separator/>
      </w:r>
    </w:p>
  </w:endnote>
  <w:endnote w:type="continuationSeparator" w:id="0">
    <w:p w:rsidR="002E0925" w:rsidRDefault="002E0925" w:rsidP="007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25" w:rsidRDefault="002E0925" w:rsidP="007429AF">
      <w:r>
        <w:separator/>
      </w:r>
    </w:p>
  </w:footnote>
  <w:footnote w:type="continuationSeparator" w:id="0">
    <w:p w:rsidR="002E0925" w:rsidRDefault="002E0925" w:rsidP="0074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0"/>
    <w:rsid w:val="002E0925"/>
    <w:rsid w:val="007429AF"/>
    <w:rsid w:val="00A07230"/>
    <w:rsid w:val="00D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9AF"/>
    <w:rPr>
      <w:sz w:val="18"/>
      <w:szCs w:val="18"/>
    </w:rPr>
  </w:style>
  <w:style w:type="table" w:styleId="a5">
    <w:name w:val="Table Grid"/>
    <w:basedOn w:val="a1"/>
    <w:rsid w:val="007429A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9AF"/>
    <w:rPr>
      <w:sz w:val="18"/>
      <w:szCs w:val="18"/>
    </w:rPr>
  </w:style>
  <w:style w:type="table" w:styleId="a5">
    <w:name w:val="Table Grid"/>
    <w:basedOn w:val="a1"/>
    <w:rsid w:val="007429A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879</Characters>
  <Application>Microsoft Office Word</Application>
  <DocSecurity>0</DocSecurity>
  <Lines>43</Lines>
  <Paragraphs>28</Paragraphs>
  <ScaleCrop>false</ScaleCrop>
  <Company>微软公司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张逍依</dc:creator>
  <cp:keywords/>
  <dc:description/>
  <cp:lastModifiedBy>张逍依</cp:lastModifiedBy>
  <cp:revision>2</cp:revision>
  <dcterms:created xsi:type="dcterms:W3CDTF">2020-04-16T02:54:00Z</dcterms:created>
  <dcterms:modified xsi:type="dcterms:W3CDTF">2020-04-16T02:54:00Z</dcterms:modified>
</cp:coreProperties>
</file>