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vertAnchor="text" w:horzAnchor="margin" w:tblpY="1"/>
        <w:tblW w:w="9088" w:type="dxa"/>
        <w:tblInd w:w="0" w:type="dxa"/>
        <w:tblLayout w:type="autofit"/>
        <w:tblCellMar>
          <w:top w:w="0" w:type="dxa"/>
          <w:left w:w="28" w:type="dxa"/>
          <w:bottom w:w="0" w:type="dxa"/>
          <w:right w:w="28" w:type="dxa"/>
        </w:tblCellMar>
      </w:tblPr>
      <w:tblGrid>
        <w:gridCol w:w="3238"/>
        <w:gridCol w:w="4170"/>
        <w:gridCol w:w="1680"/>
      </w:tblGrid>
      <w:tr>
        <w:tblPrEx>
          <w:tblCellMar>
            <w:top w:w="0" w:type="dxa"/>
            <w:left w:w="28" w:type="dxa"/>
            <w:bottom w:w="0" w:type="dxa"/>
            <w:right w:w="28" w:type="dxa"/>
          </w:tblCellMar>
        </w:tblPrEx>
        <w:trPr>
          <w:trHeight w:val="1346" w:hRule="atLeast"/>
        </w:trPr>
        <w:tc>
          <w:tcPr>
            <w:tcW w:w="3238" w:type="dxa"/>
            <w:vAlign w:val="center"/>
          </w:tcPr>
          <w:p>
            <w:pPr>
              <w:adjustRightInd w:val="0"/>
              <w:snapToGrid w:val="0"/>
              <w:spacing w:line="540" w:lineRule="exact"/>
              <w:jc w:val="distribute"/>
              <w:rPr>
                <w:rFonts w:eastAsia="小标宋"/>
                <w:bCs/>
                <w:color w:val="FF0000"/>
                <w:sz w:val="36"/>
              </w:rPr>
            </w:pPr>
            <w:r>
              <w:rPr>
                <w:rFonts w:eastAsia="小标宋"/>
                <w:bCs/>
                <w:color w:val="FF0000"/>
                <w:sz w:val="36"/>
              </w:rPr>
              <w:t>苏州国家高新技术</w:t>
            </w:r>
          </w:p>
          <w:p>
            <w:pPr>
              <w:adjustRightInd w:val="0"/>
              <w:snapToGrid w:val="0"/>
              <w:spacing w:line="540" w:lineRule="exact"/>
              <w:jc w:val="distribute"/>
              <w:rPr>
                <w:rFonts w:eastAsia="小标宋"/>
                <w:bCs/>
                <w:color w:val="FF0000"/>
                <w:sz w:val="36"/>
              </w:rPr>
            </w:pPr>
            <w:r>
              <w:rPr>
                <w:rFonts w:eastAsia="小标宋"/>
                <w:bCs/>
                <w:color w:val="FF0000"/>
                <w:sz w:val="36"/>
              </w:rPr>
              <w:t>产业开发区</w:t>
            </w:r>
          </w:p>
        </w:tc>
        <w:tc>
          <w:tcPr>
            <w:tcW w:w="4170" w:type="dxa"/>
            <w:vAlign w:val="center"/>
          </w:tcPr>
          <w:p>
            <w:pPr>
              <w:adjustRightInd w:val="0"/>
              <w:snapToGrid w:val="0"/>
              <w:spacing w:line="1400" w:lineRule="exact"/>
              <w:ind w:right="-19" w:rightChars="-9"/>
              <w:rPr>
                <w:rFonts w:eastAsia="小标宋"/>
                <w:bCs/>
                <w:color w:val="FF0000"/>
                <w:spacing w:val="54"/>
                <w:w w:val="60"/>
                <w:sz w:val="118"/>
                <w:szCs w:val="118"/>
              </w:rPr>
            </w:pPr>
            <w:r>
              <w:rPr>
                <w:rFonts w:eastAsia="小标宋"/>
                <w:color w:val="FF0000"/>
                <w:spacing w:val="54"/>
                <w:w w:val="60"/>
                <w:sz w:val="118"/>
                <w:szCs w:val="118"/>
              </w:rPr>
              <w:t>管理委员会</w:t>
            </w:r>
          </w:p>
        </w:tc>
        <w:tc>
          <w:tcPr>
            <w:tcW w:w="1680" w:type="dxa"/>
            <w:vMerge w:val="restart"/>
            <w:vAlign w:val="center"/>
          </w:tcPr>
          <w:p>
            <w:pPr>
              <w:adjustRightInd w:val="0"/>
              <w:snapToGrid w:val="0"/>
              <w:spacing w:line="1400" w:lineRule="exact"/>
              <w:ind w:right="-19" w:rightChars="-9"/>
              <w:jc w:val="left"/>
              <w:rPr>
                <w:rFonts w:eastAsia="小标宋"/>
                <w:bCs/>
                <w:color w:val="FF0000"/>
                <w:spacing w:val="-40"/>
                <w:w w:val="60"/>
                <w:kern w:val="0"/>
                <w:sz w:val="118"/>
                <w:szCs w:val="118"/>
              </w:rPr>
            </w:pPr>
            <w:r>
              <w:rPr>
                <w:rFonts w:eastAsia="小标宋"/>
                <w:color w:val="FF0000"/>
                <w:spacing w:val="-40"/>
                <w:w w:val="60"/>
                <w:kern w:val="0"/>
                <w:sz w:val="118"/>
                <w:szCs w:val="118"/>
              </w:rPr>
              <w:t>文件</w:t>
            </w:r>
          </w:p>
        </w:tc>
      </w:tr>
      <w:tr>
        <w:tblPrEx>
          <w:tblCellMar>
            <w:top w:w="0" w:type="dxa"/>
            <w:left w:w="28" w:type="dxa"/>
            <w:bottom w:w="0" w:type="dxa"/>
            <w:right w:w="28" w:type="dxa"/>
          </w:tblCellMar>
        </w:tblPrEx>
        <w:trPr>
          <w:trHeight w:val="1458" w:hRule="atLeast"/>
        </w:trPr>
        <w:tc>
          <w:tcPr>
            <w:tcW w:w="7408" w:type="dxa"/>
            <w:gridSpan w:val="2"/>
          </w:tcPr>
          <w:p>
            <w:pPr>
              <w:adjustRightInd w:val="0"/>
              <w:snapToGrid w:val="0"/>
              <w:rPr>
                <w:rFonts w:eastAsia="小标宋"/>
                <w:color w:val="FF0000"/>
                <w:sz w:val="11"/>
              </w:rPr>
            </w:pPr>
          </w:p>
          <w:p>
            <w:pPr>
              <w:adjustRightInd w:val="0"/>
              <w:snapToGrid w:val="0"/>
              <w:spacing w:line="175" w:lineRule="auto"/>
              <w:rPr>
                <w:rFonts w:eastAsia="小标宋"/>
                <w:bCs/>
                <w:color w:val="FF0000"/>
                <w:w w:val="62"/>
                <w:sz w:val="118"/>
                <w:szCs w:val="118"/>
              </w:rPr>
            </w:pPr>
            <w:r>
              <w:rPr>
                <w:rFonts w:eastAsia="小标宋"/>
                <w:bCs/>
                <w:color w:val="FF0000"/>
                <w:w w:val="62"/>
                <w:sz w:val="118"/>
                <w:szCs w:val="118"/>
              </w:rPr>
              <w:t>苏州市虎丘区人民政府</w:t>
            </w:r>
          </w:p>
        </w:tc>
        <w:tc>
          <w:tcPr>
            <w:tcW w:w="1680" w:type="dxa"/>
            <w:vMerge w:val="continue"/>
          </w:tcPr>
          <w:p>
            <w:pPr>
              <w:adjustRightInd w:val="0"/>
              <w:snapToGrid w:val="0"/>
              <w:spacing w:line="1400" w:lineRule="exact"/>
              <w:ind w:right="-19" w:rightChars="-9"/>
              <w:rPr>
                <w:rFonts w:eastAsia="小标宋"/>
                <w:bCs/>
                <w:color w:val="FF0000"/>
                <w:w w:val="60"/>
                <w:sz w:val="118"/>
                <w:szCs w:val="118"/>
              </w:rPr>
            </w:pPr>
          </w:p>
        </w:tc>
      </w:tr>
    </w:tbl>
    <w:p>
      <w:pPr>
        <w:adjustRightInd w:val="0"/>
        <w:snapToGrid w:val="0"/>
        <w:ind w:right="-210" w:rightChars="-100"/>
        <w:jc w:val="left"/>
        <w:rPr>
          <w:b/>
          <w:bCs/>
          <w:color w:val="FF0000"/>
          <w:sz w:val="30"/>
          <w:szCs w:val="30"/>
        </w:rPr>
      </w:pPr>
      <w:r>
        <w:rPr>
          <w:rFonts w:hint="eastAsia" w:ascii="宋体" w:hAnsi="宋体" w:cs="宋体"/>
          <w:color w:val="FF0000"/>
          <w:sz w:val="30"/>
          <w:szCs w:val="30"/>
        </w:rPr>
        <w:t>━━━━━━━━━━━━━━━━━━━━━━━━━━━━</w:t>
      </w:r>
    </w:p>
    <w:p>
      <w:pPr>
        <w:tabs>
          <w:tab w:val="left" w:pos="4620"/>
          <w:tab w:val="left" w:pos="4830"/>
        </w:tabs>
        <w:adjustRightInd w:val="0"/>
        <w:snapToGrid w:val="0"/>
        <w:rPr>
          <w:rFonts w:eastAsia="仿宋_GB2312"/>
          <w:sz w:val="28"/>
          <w:szCs w:val="28"/>
        </w:rPr>
      </w:pPr>
    </w:p>
    <w:p>
      <w:pPr>
        <w:tabs>
          <w:tab w:val="left" w:pos="4620"/>
          <w:tab w:val="left" w:pos="4830"/>
        </w:tabs>
        <w:adjustRightInd w:val="0"/>
        <w:snapToGrid w:val="0"/>
        <w:rPr>
          <w:sz w:val="28"/>
          <w:szCs w:val="28"/>
        </w:rPr>
      </w:pPr>
    </w:p>
    <w:p>
      <w:pPr>
        <w:tabs>
          <w:tab w:val="left" w:pos="4620"/>
          <w:tab w:val="left" w:pos="4830"/>
        </w:tabs>
        <w:adjustRightInd w:val="0"/>
        <w:snapToGrid w:val="0"/>
        <w:rPr>
          <w:sz w:val="28"/>
          <w:szCs w:val="28"/>
        </w:rPr>
      </w:pPr>
    </w:p>
    <w:p>
      <w:pPr>
        <w:adjustRightInd w:val="0"/>
        <w:snapToGrid w:val="0"/>
        <w:jc w:val="center"/>
        <w:rPr>
          <w:rFonts w:eastAsia="小标宋"/>
          <w:sz w:val="44"/>
          <w:szCs w:val="44"/>
        </w:rPr>
      </w:pPr>
      <w:r>
        <w:rPr>
          <w:rFonts w:eastAsia="小标宋"/>
          <w:sz w:val="44"/>
          <w:szCs w:val="44"/>
        </w:rPr>
        <w:t>苏州高新区（虎丘区）202</w:t>
      </w:r>
      <w:r>
        <w:rPr>
          <w:rFonts w:hint="eastAsia" w:eastAsia="小标宋"/>
          <w:sz w:val="44"/>
          <w:szCs w:val="44"/>
          <w:lang w:val="en-US" w:eastAsia="zh-CN"/>
        </w:rPr>
        <w:t>1</w:t>
      </w:r>
      <w:r>
        <w:rPr>
          <w:rFonts w:eastAsia="小标宋"/>
          <w:sz w:val="44"/>
          <w:szCs w:val="44"/>
        </w:rPr>
        <w:t>年度</w:t>
      </w:r>
    </w:p>
    <w:p>
      <w:pPr>
        <w:adjustRightInd w:val="0"/>
        <w:snapToGrid w:val="0"/>
        <w:jc w:val="center"/>
        <w:rPr>
          <w:rFonts w:eastAsia="方正小标宋简体"/>
          <w:sz w:val="44"/>
          <w:szCs w:val="44"/>
        </w:rPr>
      </w:pPr>
      <w:r>
        <w:rPr>
          <w:rFonts w:eastAsia="小标宋"/>
          <w:sz w:val="44"/>
          <w:szCs w:val="44"/>
        </w:rPr>
        <w:t>法治政府建设情况报告</w:t>
      </w:r>
    </w:p>
    <w:p>
      <w:pPr>
        <w:adjustRightInd w:val="0"/>
        <w:snapToGrid w:val="0"/>
        <w:rPr>
          <w:rFonts w:eastAsia="仿宋_GB2312"/>
          <w:color w:val="000000"/>
          <w:spacing w:val="-4"/>
          <w:sz w:val="28"/>
          <w:szCs w:val="28"/>
        </w:rPr>
      </w:pPr>
    </w:p>
    <w:p>
      <w:pPr>
        <w:spacing w:line="360" w:lineRule="auto"/>
        <w:rPr>
          <w:rFonts w:eastAsia="仿宋_GB2312"/>
          <w:color w:val="000000"/>
          <w:spacing w:val="-4"/>
          <w:sz w:val="32"/>
          <w:szCs w:val="32"/>
        </w:rPr>
      </w:pPr>
      <w:r>
        <w:rPr>
          <w:rFonts w:eastAsia="仿宋_GB2312"/>
          <w:color w:val="000000"/>
          <w:spacing w:val="-4"/>
          <w:sz w:val="32"/>
          <w:szCs w:val="32"/>
        </w:rPr>
        <w:t>苏州市人民政府：</w:t>
      </w:r>
    </w:p>
    <w:p>
      <w:pPr>
        <w:spacing w:line="360" w:lineRule="auto"/>
        <w:ind w:firstLine="615"/>
        <w:rPr>
          <w:rFonts w:eastAsia="仿宋_GB2312"/>
          <w:color w:val="000000"/>
          <w:spacing w:val="-4"/>
          <w:sz w:val="32"/>
          <w:szCs w:val="32"/>
        </w:rPr>
      </w:pPr>
      <w:r>
        <w:rPr>
          <w:rFonts w:eastAsia="仿宋_GB2312"/>
          <w:color w:val="000000"/>
          <w:spacing w:val="-4"/>
          <w:sz w:val="32"/>
          <w:szCs w:val="32"/>
        </w:rPr>
        <w:t>根据《法治政府建设实施纲要（2015-2020年）》（中发</w:t>
      </w:r>
      <w:r>
        <w:rPr>
          <w:rFonts w:eastAsia="仿宋_GB2312"/>
          <w:sz w:val="32"/>
          <w:szCs w:val="32"/>
        </w:rPr>
        <w:t>〔2015〕36号</w:t>
      </w:r>
      <w:r>
        <w:rPr>
          <w:rFonts w:eastAsia="仿宋_GB2312"/>
          <w:color w:val="000000"/>
          <w:spacing w:val="-4"/>
          <w:sz w:val="32"/>
          <w:szCs w:val="32"/>
        </w:rPr>
        <w:t>）和苏州市建法办《关于规范法治政府建设情况报告制度的通知》（苏建法办</w:t>
      </w:r>
      <w:r>
        <w:rPr>
          <w:rFonts w:eastAsia="仿宋_GB2312"/>
          <w:sz w:val="32"/>
          <w:szCs w:val="32"/>
        </w:rPr>
        <w:t>〔2019〕18号</w:t>
      </w:r>
      <w:r>
        <w:rPr>
          <w:rFonts w:eastAsia="仿宋_GB2312"/>
          <w:color w:val="000000"/>
          <w:spacing w:val="-4"/>
          <w:sz w:val="32"/>
          <w:szCs w:val="32"/>
        </w:rPr>
        <w:t>）精神，现将苏州高新区（虎丘区）202</w:t>
      </w:r>
      <w:r>
        <w:rPr>
          <w:rFonts w:hint="eastAsia" w:eastAsia="仿宋_GB2312"/>
          <w:color w:val="000000"/>
          <w:spacing w:val="-4"/>
          <w:sz w:val="32"/>
          <w:szCs w:val="32"/>
          <w:lang w:val="en-US" w:eastAsia="zh-CN"/>
        </w:rPr>
        <w:t>1</w:t>
      </w:r>
      <w:r>
        <w:rPr>
          <w:rFonts w:eastAsia="仿宋_GB2312"/>
          <w:color w:val="000000"/>
          <w:spacing w:val="-4"/>
          <w:sz w:val="32"/>
          <w:szCs w:val="32"/>
        </w:rPr>
        <w:t>年度法治政府建设情况报告如下（详见附件），请予审阅。</w:t>
      </w:r>
    </w:p>
    <w:p>
      <w:pPr>
        <w:spacing w:line="540" w:lineRule="exact"/>
        <w:rPr>
          <w:rFonts w:eastAsia="仿宋_GB2312"/>
          <w:color w:val="000000"/>
          <w:spacing w:val="-4"/>
          <w:sz w:val="32"/>
          <w:szCs w:val="32"/>
        </w:rPr>
      </w:pPr>
    </w:p>
    <w:p>
      <w:pPr>
        <w:spacing w:line="540" w:lineRule="exact"/>
        <w:rPr>
          <w:rFonts w:eastAsia="仿宋_GB2312"/>
          <w:sz w:val="32"/>
          <w:szCs w:val="32"/>
        </w:rPr>
      </w:pPr>
      <w:r>
        <w:rPr>
          <w:rFonts w:eastAsia="仿宋_GB2312"/>
          <w:color w:val="000000"/>
          <w:spacing w:val="-4"/>
          <w:sz w:val="32"/>
          <w:szCs w:val="32"/>
        </w:rPr>
        <w:t>附件：《苏州高新区（虎丘区）202</w:t>
      </w:r>
      <w:r>
        <w:rPr>
          <w:rFonts w:hint="eastAsia" w:eastAsia="仿宋_GB2312"/>
          <w:color w:val="000000"/>
          <w:spacing w:val="-4"/>
          <w:sz w:val="32"/>
          <w:szCs w:val="32"/>
          <w:lang w:val="en-US" w:eastAsia="zh-CN"/>
        </w:rPr>
        <w:t>1</w:t>
      </w:r>
      <w:r>
        <w:rPr>
          <w:rFonts w:eastAsia="仿宋_GB2312"/>
          <w:color w:val="000000"/>
          <w:spacing w:val="-4"/>
          <w:sz w:val="32"/>
          <w:szCs w:val="32"/>
        </w:rPr>
        <w:t>年</w:t>
      </w:r>
      <w:r>
        <w:rPr>
          <w:rFonts w:hint="eastAsia" w:eastAsia="仿宋_GB2312"/>
          <w:color w:val="000000"/>
          <w:spacing w:val="-4"/>
          <w:sz w:val="32"/>
          <w:szCs w:val="32"/>
          <w:lang w:val="en-US" w:eastAsia="zh-CN"/>
        </w:rPr>
        <w:t>度</w:t>
      </w:r>
      <w:r>
        <w:rPr>
          <w:rFonts w:eastAsia="仿宋_GB2312"/>
          <w:color w:val="000000"/>
          <w:spacing w:val="-4"/>
          <w:sz w:val="32"/>
          <w:szCs w:val="32"/>
        </w:rPr>
        <w:t>法治政府建设情况报告</w:t>
      </w:r>
      <w:r>
        <w:rPr>
          <w:rFonts w:eastAsia="仿宋_GB2312"/>
          <w:sz w:val="32"/>
          <w:szCs w:val="32"/>
        </w:rPr>
        <w:t>》</w:t>
      </w:r>
    </w:p>
    <w:p>
      <w:pPr>
        <w:adjustRightInd w:val="0"/>
        <w:snapToGrid w:val="0"/>
        <w:spacing w:line="460" w:lineRule="exact"/>
        <w:ind w:right="420" w:rightChars="200"/>
        <w:jc w:val="right"/>
        <w:rPr>
          <w:rFonts w:eastAsia="仿宋_GB2312"/>
          <w:sz w:val="32"/>
          <w:szCs w:val="32"/>
        </w:rPr>
      </w:pPr>
    </w:p>
    <w:p>
      <w:pPr>
        <w:adjustRightInd w:val="0"/>
        <w:snapToGrid w:val="0"/>
        <w:spacing w:line="460" w:lineRule="exact"/>
        <w:ind w:right="420" w:rightChars="200"/>
        <w:jc w:val="right"/>
        <w:rPr>
          <w:rFonts w:eastAsia="仿宋_GB2312"/>
          <w:sz w:val="32"/>
          <w:szCs w:val="32"/>
        </w:rPr>
      </w:pPr>
    </w:p>
    <w:p>
      <w:pPr>
        <w:adjustRightInd w:val="0"/>
        <w:snapToGrid w:val="0"/>
        <w:ind w:right="420" w:rightChars="200" w:firstLine="1920" w:firstLineChars="600"/>
        <w:jc w:val="distribute"/>
        <w:rPr>
          <w:rFonts w:eastAsia="仿宋_GB2312"/>
          <w:sz w:val="32"/>
          <w:szCs w:val="32"/>
        </w:rPr>
      </w:pPr>
      <w:r>
        <w:rPr>
          <w:rFonts w:eastAsia="仿宋_GB2312"/>
          <w:sz w:val="32"/>
          <w:szCs w:val="32"/>
        </w:rPr>
        <w:t xml:space="preserve">苏州国家高新技术产业开发区管理委员会 </w:t>
      </w:r>
    </w:p>
    <w:p>
      <w:pPr>
        <w:adjustRightInd w:val="0"/>
        <w:snapToGrid w:val="0"/>
        <w:ind w:right="420" w:rightChars="200" w:firstLine="2240" w:firstLineChars="700"/>
        <w:jc w:val="distribute"/>
        <w:rPr>
          <w:rFonts w:eastAsia="仿宋_GB2312"/>
          <w:sz w:val="32"/>
          <w:szCs w:val="32"/>
        </w:rPr>
      </w:pPr>
      <w:r>
        <w:rPr>
          <w:rFonts w:eastAsia="仿宋_GB2312"/>
          <w:sz w:val="32"/>
          <w:szCs w:val="32"/>
        </w:rPr>
        <w:t>苏州市虎丘区人民政府</w:t>
      </w:r>
    </w:p>
    <w:p>
      <w:pPr>
        <w:wordWrap w:val="0"/>
        <w:adjustRightInd w:val="0"/>
        <w:snapToGrid w:val="0"/>
        <w:ind w:right="1600"/>
        <w:jc w:val="right"/>
        <w:rPr>
          <w:rFonts w:eastAsia="仿宋_GB2312"/>
          <w:sz w:val="32"/>
          <w:szCs w:val="32"/>
        </w:rPr>
      </w:pPr>
      <w:r>
        <w:rPr>
          <w:rFonts w:eastAsia="仿宋_GB2312"/>
          <w:sz w:val="32"/>
          <w:szCs w:val="32"/>
        </w:rPr>
        <w:t>202</w:t>
      </w:r>
      <w:r>
        <w:rPr>
          <w:rFonts w:hint="eastAsia" w:eastAsia="仿宋_GB2312"/>
          <w:sz w:val="32"/>
          <w:szCs w:val="32"/>
          <w:lang w:val="en-US" w:eastAsia="zh-CN"/>
        </w:rPr>
        <w:t>1</w:t>
      </w:r>
      <w:r>
        <w:rPr>
          <w:rFonts w:eastAsia="仿宋_GB2312"/>
          <w:sz w:val="32"/>
          <w:szCs w:val="32"/>
        </w:rPr>
        <w:t>年</w:t>
      </w:r>
      <w:r>
        <w:rPr>
          <w:rFonts w:hint="eastAsia" w:eastAsia="仿宋_GB2312"/>
          <w:sz w:val="32"/>
          <w:szCs w:val="32"/>
        </w:rPr>
        <w:t>12</w:t>
      </w:r>
      <w:r>
        <w:rPr>
          <w:rFonts w:eastAsia="仿宋_GB2312"/>
          <w:sz w:val="32"/>
          <w:szCs w:val="32"/>
        </w:rPr>
        <w:t>月</w:t>
      </w:r>
      <w:r>
        <w:rPr>
          <w:rFonts w:hint="eastAsia" w:eastAsia="仿宋_GB2312"/>
          <w:sz w:val="32"/>
          <w:szCs w:val="32"/>
          <w:lang w:val="en-US" w:eastAsia="zh-CN"/>
        </w:rPr>
        <w:t>2</w:t>
      </w:r>
      <w:r>
        <w:rPr>
          <w:rFonts w:eastAsia="仿宋_GB2312"/>
          <w:sz w:val="32"/>
          <w:szCs w:val="32"/>
        </w:rPr>
        <w:t xml:space="preserve">日  </w:t>
      </w:r>
    </w:p>
    <w:p>
      <w:pPr>
        <w:adjustRightInd w:val="0"/>
        <w:snapToGrid w:val="0"/>
        <w:rPr>
          <w:rFonts w:eastAsia="仿宋_GB2312"/>
          <w:sz w:val="32"/>
          <w:szCs w:val="32"/>
        </w:rPr>
      </w:pPr>
    </w:p>
    <w:p>
      <w:pPr>
        <w:adjustRightInd w:val="0"/>
        <w:snapToGrid w:val="0"/>
        <w:rPr>
          <w:rFonts w:eastAsia="仿宋_GB2312"/>
          <w:sz w:val="32"/>
          <w:szCs w:val="32"/>
        </w:rPr>
      </w:pPr>
      <w:r>
        <w:rPr>
          <w:rFonts w:eastAsia="仿宋_GB2312"/>
          <w:sz w:val="32"/>
          <w:szCs w:val="32"/>
        </w:rPr>
        <w:t>附件：</w:t>
      </w:r>
    </w:p>
    <w:p>
      <w:pPr>
        <w:adjustRightInd w:val="0"/>
        <w:snapToGrid w:val="0"/>
        <w:rPr>
          <w:rFonts w:eastAsia="仿宋_GB2312"/>
          <w:sz w:val="32"/>
          <w:szCs w:val="32"/>
        </w:rPr>
      </w:pPr>
    </w:p>
    <w:p>
      <w:pPr>
        <w:jc w:val="center"/>
        <w:rPr>
          <w:rFonts w:eastAsia="方正小标宋_GBK"/>
          <w:sz w:val="36"/>
          <w:szCs w:val="36"/>
        </w:rPr>
      </w:pPr>
      <w:r>
        <w:rPr>
          <w:rFonts w:eastAsia="方正小标宋_GBK"/>
          <w:sz w:val="36"/>
          <w:szCs w:val="36"/>
        </w:rPr>
        <w:t>苏州高新区（虎丘区）202</w:t>
      </w:r>
      <w:r>
        <w:rPr>
          <w:rFonts w:hint="eastAsia" w:eastAsia="方正小标宋_GBK"/>
          <w:sz w:val="36"/>
          <w:szCs w:val="36"/>
          <w:lang w:val="en-US" w:eastAsia="zh-CN"/>
        </w:rPr>
        <w:t>1</w:t>
      </w:r>
      <w:r>
        <w:rPr>
          <w:rFonts w:eastAsia="方正小标宋_GBK"/>
          <w:sz w:val="36"/>
          <w:szCs w:val="36"/>
        </w:rPr>
        <w:t>年度</w:t>
      </w:r>
    </w:p>
    <w:p>
      <w:pPr>
        <w:jc w:val="center"/>
        <w:rPr>
          <w:rFonts w:eastAsia="方正小标宋_GBK"/>
          <w:sz w:val="36"/>
          <w:szCs w:val="36"/>
        </w:rPr>
      </w:pPr>
      <w:r>
        <w:rPr>
          <w:rFonts w:eastAsia="方正小标宋_GBK"/>
          <w:sz w:val="36"/>
          <w:szCs w:val="36"/>
        </w:rPr>
        <w:t>法治政府建设情况报告</w:t>
      </w:r>
    </w:p>
    <w:p>
      <w:pPr>
        <w:rPr>
          <w:rFonts w:eastAsia="仿宋_GB2312"/>
          <w:sz w:val="32"/>
          <w:szCs w:val="32"/>
        </w:rPr>
      </w:pPr>
    </w:p>
    <w:p>
      <w:pPr>
        <w:ind w:firstLine="660"/>
        <w:rPr>
          <w:rFonts w:eastAsia="仿宋_GB2312"/>
          <w:sz w:val="32"/>
          <w:szCs w:val="32"/>
        </w:rPr>
      </w:pPr>
      <w:r>
        <w:rPr>
          <w:rFonts w:eastAsia="仿宋_GB2312"/>
          <w:sz w:val="32"/>
          <w:szCs w:val="32"/>
        </w:rPr>
        <w:t>202</w:t>
      </w:r>
      <w:r>
        <w:rPr>
          <w:rFonts w:hint="eastAsia" w:eastAsia="仿宋_GB2312"/>
          <w:sz w:val="32"/>
          <w:szCs w:val="32"/>
          <w:lang w:val="en-US" w:eastAsia="zh-CN"/>
        </w:rPr>
        <w:t>1</w:t>
      </w:r>
      <w:r>
        <w:rPr>
          <w:rFonts w:eastAsia="仿宋_GB2312"/>
          <w:sz w:val="32"/>
          <w:szCs w:val="32"/>
        </w:rPr>
        <w:t>年，在省市具体部署下，在区（工）委、区（工）委依法治区委的直接领导下，我区法治政府建设积极推进，取得一系列新成效，现将有关情况报告如下。</w:t>
      </w:r>
    </w:p>
    <w:p>
      <w:pPr>
        <w:ind w:firstLine="660"/>
        <w:rPr>
          <w:rFonts w:eastAsia="黑体"/>
          <w:color w:val="000000"/>
          <w:kern w:val="32"/>
          <w:sz w:val="32"/>
          <w:szCs w:val="32"/>
        </w:rPr>
      </w:pPr>
      <w:r>
        <w:rPr>
          <w:rFonts w:eastAsia="黑体"/>
          <w:sz w:val="32"/>
          <w:szCs w:val="32"/>
        </w:rPr>
        <w:t>一、</w:t>
      </w:r>
      <w:r>
        <w:rPr>
          <w:rFonts w:eastAsia="黑体"/>
          <w:color w:val="000000"/>
          <w:kern w:val="32"/>
          <w:sz w:val="32"/>
          <w:szCs w:val="32"/>
        </w:rPr>
        <w:t>法治政府建设主要举措和成效</w:t>
      </w:r>
    </w:p>
    <w:p>
      <w:pPr>
        <w:ind w:firstLine="643" w:firstLineChars="200"/>
        <w:rPr>
          <w:rFonts w:eastAsia="楷体"/>
          <w:b/>
          <w:sz w:val="32"/>
          <w:szCs w:val="32"/>
        </w:rPr>
      </w:pPr>
      <w:r>
        <w:rPr>
          <w:rFonts w:eastAsia="楷体"/>
          <w:b/>
          <w:sz w:val="32"/>
          <w:szCs w:val="32"/>
        </w:rPr>
        <w:t>（一）制度建设得到加强</w:t>
      </w:r>
    </w:p>
    <w:p>
      <w:pPr>
        <w:ind w:firstLine="643" w:firstLineChars="200"/>
        <w:rPr>
          <w:rFonts w:eastAsia="仿宋_GB2312"/>
          <w:sz w:val="32"/>
          <w:szCs w:val="32"/>
        </w:rPr>
      </w:pPr>
      <w:r>
        <w:rPr>
          <w:rFonts w:eastAsia="仿宋_GB2312"/>
          <w:b/>
          <w:sz w:val="32"/>
          <w:szCs w:val="32"/>
        </w:rPr>
        <w:t>1、积极参与地方立法。</w:t>
      </w:r>
      <w:r>
        <w:rPr>
          <w:rFonts w:eastAsia="仿宋_GB2312"/>
          <w:sz w:val="32"/>
          <w:szCs w:val="32"/>
        </w:rPr>
        <w:t>认真做好省、市有关规章、法规、规范性文件的意见征集与反馈工作，为《江苏省公安机关警务辅助人员管理条例（草案）（征求意见稿）》</w:t>
      </w:r>
      <w:r>
        <w:rPr>
          <w:rFonts w:hint="eastAsia" w:eastAsia="仿宋_GB2312"/>
          <w:sz w:val="32"/>
          <w:szCs w:val="32"/>
        </w:rPr>
        <w:t>、</w:t>
      </w:r>
      <w:r>
        <w:rPr>
          <w:rFonts w:eastAsia="仿宋_GB2312"/>
          <w:sz w:val="32"/>
          <w:szCs w:val="32"/>
        </w:rPr>
        <w:t>《江苏省水域保护办法（征求意见稿）》</w:t>
      </w:r>
      <w:r>
        <w:rPr>
          <w:rFonts w:hint="eastAsia" w:eastAsia="仿宋_GB2312"/>
          <w:sz w:val="32"/>
          <w:szCs w:val="32"/>
        </w:rPr>
        <w:t>、</w:t>
      </w:r>
      <w:r>
        <w:rPr>
          <w:rFonts w:eastAsia="仿宋_GB2312"/>
          <w:sz w:val="32"/>
          <w:szCs w:val="32"/>
        </w:rPr>
        <w:t>《苏州市反走私综合治理办法（草案）》、《苏州市道路交通安全条例(送审稿)》《苏州市供水条例（送审稿）》等16件立法性文件提供修改建议50余条，均在规定时间内提供反馈意见。</w:t>
      </w:r>
    </w:p>
    <w:p>
      <w:pPr>
        <w:ind w:firstLine="643" w:firstLineChars="200"/>
        <w:rPr>
          <w:rFonts w:eastAsia="仿宋_GB2312"/>
          <w:sz w:val="32"/>
          <w:szCs w:val="32"/>
        </w:rPr>
      </w:pPr>
      <w:r>
        <w:rPr>
          <w:rFonts w:eastAsia="仿宋_GB2312"/>
          <w:b/>
          <w:sz w:val="32"/>
          <w:szCs w:val="32"/>
        </w:rPr>
        <w:t>2、加强规范性文件管理。</w:t>
      </w:r>
      <w:r>
        <w:rPr>
          <w:rFonts w:eastAsia="仿宋_GB2312"/>
          <w:sz w:val="32"/>
          <w:szCs w:val="32"/>
        </w:rPr>
        <w:t>严格贯彻落实《江苏省司法厅关于规范规章和行政规范性文件备案工作的通知》和《苏州市行政规范性文件制定的和监督管理规定》，学习使用省级备案系统，加强行政规范性文件合法性审核和备案审查工作，确保报备率、及时率、规范率均达100%</w:t>
      </w:r>
      <w:r>
        <w:rPr>
          <w:rFonts w:hint="eastAsia" w:eastAsia="仿宋_GB2312"/>
          <w:sz w:val="32"/>
          <w:szCs w:val="32"/>
        </w:rPr>
        <w:t>，</w:t>
      </w:r>
      <w:r>
        <w:rPr>
          <w:rFonts w:eastAsia="仿宋_GB2312"/>
          <w:sz w:val="32"/>
          <w:szCs w:val="32"/>
        </w:rPr>
        <w:t>开展行政规范性文件清理</w:t>
      </w:r>
      <w:r>
        <w:rPr>
          <w:rFonts w:hint="eastAsia" w:eastAsia="仿宋_GB2312"/>
          <w:sz w:val="32"/>
          <w:szCs w:val="32"/>
        </w:rPr>
        <w:t>，</w:t>
      </w:r>
      <w:r>
        <w:rPr>
          <w:rFonts w:eastAsia="仿宋_GB2312"/>
          <w:sz w:val="32"/>
          <w:szCs w:val="32"/>
        </w:rPr>
        <w:t>经清理</w:t>
      </w:r>
      <w:r>
        <w:rPr>
          <w:rFonts w:hint="eastAsia" w:eastAsia="仿宋_GB2312"/>
          <w:sz w:val="32"/>
          <w:szCs w:val="32"/>
        </w:rPr>
        <w:t>，</w:t>
      </w:r>
      <w:r>
        <w:rPr>
          <w:rFonts w:hint="eastAsia" w:ascii="仿宋_GB2312" w:eastAsia="仿宋_GB2312"/>
          <w:color w:val="000000"/>
          <w:spacing w:val="-4"/>
          <w:kern w:val="32"/>
          <w:sz w:val="32"/>
          <w:szCs w:val="32"/>
        </w:rPr>
        <w:t>继续有效50件规范性文件、废止32件、拟修改1件，并在第一时间将目录予以公布。</w:t>
      </w:r>
    </w:p>
    <w:p>
      <w:pPr>
        <w:ind w:firstLine="660"/>
        <w:rPr>
          <w:rFonts w:eastAsia="楷体"/>
          <w:b/>
          <w:sz w:val="32"/>
          <w:szCs w:val="32"/>
        </w:rPr>
      </w:pPr>
      <w:r>
        <w:rPr>
          <w:rFonts w:eastAsia="楷体"/>
          <w:b/>
          <w:sz w:val="32"/>
          <w:szCs w:val="32"/>
        </w:rPr>
        <w:t>（二）政府职能全面履行</w:t>
      </w:r>
    </w:p>
    <w:p>
      <w:pPr>
        <w:spacing w:line="580" w:lineRule="exact"/>
        <w:ind w:firstLine="835" w:firstLineChars="260"/>
        <w:rPr>
          <w:rFonts w:eastAsia="仿宋_GB2312"/>
          <w:sz w:val="32"/>
          <w:szCs w:val="32"/>
        </w:rPr>
      </w:pPr>
      <w:r>
        <w:rPr>
          <w:rFonts w:eastAsia="楷体_GB2312"/>
          <w:b/>
          <w:color w:val="000000"/>
          <w:sz w:val="32"/>
          <w:szCs w:val="32"/>
        </w:rPr>
        <w:t>1.积极开展“补短板、强弱化”专项活动。</w:t>
      </w:r>
      <w:r>
        <w:rPr>
          <w:rFonts w:eastAsia="仿宋_GB2312"/>
          <w:sz w:val="32"/>
          <w:szCs w:val="32"/>
        </w:rPr>
        <w:t>按照省、市部署，我区于4月份启动开展法治政府建设“补短板、强弱项”专项活动，区委依法治区办印发了《关于开展法治政府建设“补短板、强弱项”专项活动的通知》，明确目标任务、工作步骤、活动要求。区法治政府建设大会对此进行了再部署、再动员。区委依法治区办会同区各有关单位，对照省、市标准，进行了全面梳理，形成问题清单和整改任务清单，</w:t>
      </w:r>
      <w:r>
        <w:rPr>
          <w:rFonts w:hint="eastAsia" w:ascii="仿宋_GB2312" w:eastAsia="仿宋_GB2312"/>
          <w:color w:val="000000"/>
          <w:sz w:val="32"/>
          <w:szCs w:val="32"/>
        </w:rPr>
        <w:t>各地各部门按照专项活动工作安排及时对问题清单进行了整改，下半年，</w:t>
      </w:r>
      <w:r>
        <w:rPr>
          <w:rFonts w:eastAsia="仿宋_GB2312"/>
          <w:sz w:val="32"/>
          <w:szCs w:val="32"/>
        </w:rPr>
        <w:t>区委依法治区办又对“补短板、强弱项”工作进行</w:t>
      </w:r>
      <w:r>
        <w:rPr>
          <w:rFonts w:hint="eastAsia" w:eastAsia="仿宋_GB2312"/>
          <w:sz w:val="32"/>
          <w:szCs w:val="32"/>
        </w:rPr>
        <w:t>“回头看”，并将“回头看”工作情况汇报至市委依法治市办。</w:t>
      </w:r>
    </w:p>
    <w:p>
      <w:pPr>
        <w:adjustRightInd w:val="0"/>
        <w:snapToGrid w:val="0"/>
        <w:spacing w:line="580" w:lineRule="exact"/>
        <w:ind w:firstLine="643" w:firstLineChars="200"/>
        <w:rPr>
          <w:rFonts w:hint="eastAsia" w:eastAsia="仿宋_GB2312"/>
          <w:sz w:val="32"/>
          <w:szCs w:val="32"/>
        </w:rPr>
      </w:pPr>
      <w:r>
        <w:rPr>
          <w:rFonts w:eastAsia="楷体_GB2312"/>
          <w:b/>
          <w:color w:val="000000"/>
          <w:sz w:val="32"/>
          <w:szCs w:val="32"/>
        </w:rPr>
        <w:t>2.落实各项行政审批改革举措。</w:t>
      </w:r>
      <w:r>
        <w:rPr>
          <w:rFonts w:hint="eastAsia" w:eastAsia="仿宋_GB2312"/>
          <w:color w:val="000000"/>
          <w:sz w:val="32"/>
          <w:szCs w:val="32"/>
        </w:rPr>
        <w:t>统筹研究</w:t>
      </w:r>
      <w:r>
        <w:rPr>
          <w:rFonts w:hint="eastAsia" w:ascii="仿宋_GB2312" w:eastAsia="仿宋_GB2312"/>
          <w:color w:val="000000"/>
          <w:sz w:val="32"/>
          <w:szCs w:val="32"/>
        </w:rPr>
        <w:t>“放管服”改革重要领域的重大政策措施，以区协调办名义出台《202</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年深化“放管服”改革打造一流政务营商环境工作方案》，包括7大方面22项工作任务。制定了《高新区202</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年“放管服”改革任务分解表》。每季度印发“放管服”改革工作简报，对全区“放管服”改革进行督查；推进相对集中行政审批服务。</w:t>
      </w:r>
      <w:r>
        <w:rPr>
          <w:rFonts w:ascii="仿宋_GB2312" w:eastAsia="仿宋_GB2312"/>
          <w:color w:val="000000"/>
          <w:sz w:val="32"/>
          <w:szCs w:val="32"/>
        </w:rPr>
        <w:t>完成第</w:t>
      </w:r>
      <w:r>
        <w:rPr>
          <w:rFonts w:hint="eastAsia" w:ascii="仿宋_GB2312" w:eastAsia="仿宋_GB2312"/>
          <w:color w:val="000000"/>
          <w:sz w:val="32"/>
          <w:szCs w:val="32"/>
        </w:rPr>
        <w:t>三批涉及4个部门13个事项的划转，截止</w:t>
      </w:r>
      <w:r>
        <w:rPr>
          <w:rFonts w:hint="eastAsia" w:ascii="仿宋_GB2312" w:eastAsia="仿宋_GB2312"/>
          <w:sz w:val="32"/>
          <w:szCs w:val="32"/>
        </w:rPr>
        <w:t>目前三批事项累计划转88项，已划转事项实现网上申报率100%，审批时间较法定时限压缩79.95%。出台《苏州市虎丘区镇域相对集中行政审批服务工作实施方案》，制订《赋权各镇（街道）行政审批、公共服务事项清单》，做好事项承接和赋权工作，指导板块行政审批局的组建和运行，协调5个部门24个事项下放至各镇（街道），召开事项下放培训会，对各镇（街道）的推进审批和公共服务工作</w:t>
      </w:r>
      <w:r>
        <w:rPr>
          <w:rFonts w:eastAsia="仿宋_GB2312"/>
          <w:sz w:val="32"/>
          <w:szCs w:val="32"/>
        </w:rPr>
        <w:t>进行指导。</w:t>
      </w:r>
    </w:p>
    <w:p>
      <w:pPr>
        <w:spacing w:line="560" w:lineRule="exact"/>
        <w:ind w:firstLine="640" w:firstLineChars="200"/>
        <w:rPr>
          <w:rFonts w:ascii="仿宋_GB2312" w:eastAsia="仿宋_GB2312"/>
          <w:sz w:val="32"/>
          <w:szCs w:val="32"/>
        </w:rPr>
      </w:pPr>
      <w:r>
        <w:rPr>
          <w:rFonts w:eastAsia="仿宋_GB2312"/>
          <w:sz w:val="32"/>
          <w:szCs w:val="32"/>
        </w:rPr>
        <w:t>3</w:t>
      </w:r>
      <w:r>
        <w:rPr>
          <w:rFonts w:eastAsia="仿宋_GB2312"/>
          <w:b/>
          <w:sz w:val="32"/>
          <w:szCs w:val="32"/>
        </w:rPr>
        <w:t>、全面推进“双随机、一公开”监管。</w:t>
      </w:r>
      <w:r>
        <w:rPr>
          <w:rFonts w:hint="eastAsia" w:ascii="仿宋_GB2312" w:eastAsia="仿宋_GB2312"/>
          <w:sz w:val="32"/>
          <w:szCs w:val="32"/>
        </w:rPr>
        <w:t>202</w:t>
      </w:r>
      <w:r>
        <w:rPr>
          <w:rFonts w:hint="eastAsia" w:ascii="仿宋_GB2312" w:eastAsia="仿宋_GB2312"/>
          <w:sz w:val="32"/>
          <w:szCs w:val="32"/>
          <w:lang w:val="en-US" w:eastAsia="zh-CN"/>
        </w:rPr>
        <w:t>1</w:t>
      </w:r>
      <w:r>
        <w:rPr>
          <w:rFonts w:hint="eastAsia" w:ascii="仿宋_GB2312" w:eastAsia="仿宋_GB2312"/>
          <w:sz w:val="32"/>
          <w:szCs w:val="32"/>
        </w:rPr>
        <w:t>年初成立“双随机、一公开”监管联席会议制度，联席会议由管委会主要领导任召集人，区市场监管局作为办公室单位，目前联席会议共有成员单位18个，基本实现了全区市场监管领域监管部门的全覆盖。</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1</w:t>
      </w:r>
      <w:r>
        <w:rPr>
          <w:rFonts w:hint="eastAsia" w:ascii="仿宋_GB2312" w:eastAsia="仿宋_GB2312"/>
          <w:sz w:val="32"/>
          <w:szCs w:val="32"/>
        </w:rPr>
        <w:t>年度我局自设任务16项，共计抽查687户，分别为：202</w:t>
      </w:r>
      <w:r>
        <w:rPr>
          <w:rFonts w:hint="eastAsia" w:ascii="仿宋_GB2312" w:eastAsia="仿宋_GB2312"/>
          <w:sz w:val="32"/>
          <w:szCs w:val="32"/>
          <w:lang w:val="en-US" w:eastAsia="zh-CN"/>
        </w:rPr>
        <w:t>1</w:t>
      </w:r>
      <w:r>
        <w:rPr>
          <w:rFonts w:hint="eastAsia" w:ascii="仿宋_GB2312" w:eastAsia="仿宋_GB2312"/>
          <w:sz w:val="32"/>
          <w:szCs w:val="32"/>
        </w:rPr>
        <w:t>年食品农产品批发市场1户、2020年养老机构食堂检查（按属地分成4个任务）9户、2020年秋季学校食堂（按属地分成7个任务）157户、2020年食品经营企业（按属地分成4个任务）520户。从监管领域来讲，16项任务全部都属于食品监管，充分体现出我局食品监管条线对于“双随机、一公开”监管的重视程度和在实际工作中用好、用活该监管模式的工作积极性。</w:t>
      </w:r>
    </w:p>
    <w:p>
      <w:pPr>
        <w:spacing w:line="560" w:lineRule="exact"/>
        <w:ind w:firstLine="643" w:firstLineChars="200"/>
        <w:rPr>
          <w:rFonts w:hint="eastAsia" w:ascii="仿宋_GB2312" w:eastAsia="仿宋_GB2312"/>
          <w:sz w:val="32"/>
          <w:szCs w:val="32"/>
        </w:rPr>
      </w:pPr>
      <w:r>
        <w:rPr>
          <w:rFonts w:hint="eastAsia" w:eastAsia="仿宋_GB2312"/>
          <w:b/>
          <w:sz w:val="32"/>
          <w:szCs w:val="32"/>
        </w:rPr>
        <w:t>4、推进相对集中行政审批服务。</w:t>
      </w:r>
      <w:r>
        <w:rPr>
          <w:rFonts w:eastAsia="仿宋_GB2312"/>
          <w:sz w:val="32"/>
          <w:szCs w:val="32"/>
        </w:rPr>
        <w:t>完成第</w:t>
      </w:r>
      <w:r>
        <w:rPr>
          <w:rFonts w:hint="eastAsia" w:ascii="仿宋_GB2312" w:eastAsia="仿宋_GB2312"/>
          <w:sz w:val="32"/>
          <w:szCs w:val="32"/>
        </w:rPr>
        <w:t>三批涉及4个部门13个事项的划转，截止目前三批事项累计划转88项，已划转事项实现网上申报率100%，审批时间较法定时限压缩79.95%。出台《苏州市虎丘区镇域相对集中行政审批服务工作实施方案》，制订《赋权各镇（街道）行政审批、公共服务事项清单》，做好事项承接和赋权工作，指导板块行政审批局的组建和运行，协调5个部门24个事项下放至各镇（街道），召开事项下放培训会，对各镇（街道）的推进审批和公共服务工作</w:t>
      </w:r>
      <w:r>
        <w:rPr>
          <w:rFonts w:eastAsia="仿宋_GB2312"/>
          <w:sz w:val="32"/>
          <w:szCs w:val="32"/>
        </w:rPr>
        <w:t>进行指导。</w:t>
      </w:r>
    </w:p>
    <w:p>
      <w:pPr>
        <w:ind w:firstLine="964" w:firstLineChars="300"/>
        <w:rPr>
          <w:rFonts w:ascii="仿宋_GB2312" w:eastAsia="仿宋_GB2312" w:hAnsiTheme="minorHAnsi" w:cstheme="minorBidi"/>
          <w:sz w:val="32"/>
          <w:szCs w:val="32"/>
        </w:rPr>
      </w:pPr>
      <w:r>
        <w:rPr>
          <w:rFonts w:eastAsia="楷体"/>
          <w:b/>
          <w:sz w:val="32"/>
          <w:szCs w:val="32"/>
        </w:rPr>
        <w:t>（三）重大行政决策依法规范。</w:t>
      </w:r>
      <w:r>
        <w:rPr>
          <w:rFonts w:hint="eastAsia" w:ascii="仿宋_GB2312" w:eastAsia="仿宋_GB2312" w:hAnsiTheme="minorHAnsi" w:cstheme="minorBidi"/>
          <w:sz w:val="32"/>
          <w:szCs w:val="32"/>
        </w:rPr>
        <w:t>202</w:t>
      </w:r>
      <w:r>
        <w:rPr>
          <w:rFonts w:hint="eastAsia" w:ascii="仿宋_GB2312" w:eastAsia="仿宋_GB2312" w:hAnsiTheme="minorHAnsi" w:cstheme="minorBidi"/>
          <w:sz w:val="32"/>
          <w:szCs w:val="32"/>
          <w:lang w:val="en-US" w:eastAsia="zh-CN"/>
        </w:rPr>
        <w:t>1</w:t>
      </w:r>
      <w:r>
        <w:rPr>
          <w:rFonts w:hint="eastAsia" w:ascii="仿宋_GB2312" w:eastAsia="仿宋_GB2312" w:hAnsiTheme="minorHAnsi" w:cstheme="minorBidi"/>
          <w:sz w:val="32"/>
          <w:szCs w:val="32"/>
        </w:rPr>
        <w:t>年年初，全区共集中上报15个重大行政决策项目，经评审论证会表决， 6个项目被确定为区级重大行政决策，2个项目被评定为部门级重大行政决策，6个项目被评定为板块级行政决策。2020年，我区另有4个重大行政决策后评估项目。目前所有重大行政决策项目已完成公众参与、专家论证、风险评估、合法性审查、廉洁性审查、集体讨论等论证程序，并实现了线上线下的双运行、纸质版和电子台账的双留痕。重大行政决策的规范化运行了促进决策管理的科学化、民主化、法治化，提高了政府决策质量和效率，高新区已将该项工作纳入年度综合考核。</w:t>
      </w:r>
    </w:p>
    <w:p>
      <w:pPr>
        <w:ind w:firstLine="660"/>
        <w:rPr>
          <w:rFonts w:eastAsia="楷体"/>
          <w:b/>
          <w:sz w:val="32"/>
          <w:szCs w:val="32"/>
        </w:rPr>
      </w:pPr>
      <w:r>
        <w:rPr>
          <w:rFonts w:eastAsia="楷体"/>
          <w:b/>
          <w:sz w:val="32"/>
          <w:szCs w:val="32"/>
        </w:rPr>
        <w:t>（四）行政执法规范化建设深入推进</w:t>
      </w:r>
    </w:p>
    <w:p>
      <w:pPr>
        <w:spacing w:line="580" w:lineRule="exact"/>
        <w:ind w:firstLine="643" w:firstLineChars="200"/>
        <w:rPr>
          <w:rFonts w:eastAsia="仿宋_GB2312"/>
          <w:kern w:val="0"/>
          <w:sz w:val="32"/>
          <w:szCs w:val="32"/>
        </w:rPr>
      </w:pPr>
      <w:r>
        <w:rPr>
          <w:rFonts w:eastAsia="仿宋_GB2312"/>
          <w:b/>
          <w:sz w:val="32"/>
          <w:szCs w:val="32"/>
        </w:rPr>
        <w:t>1、</w:t>
      </w:r>
      <w:r>
        <w:rPr>
          <w:rFonts w:eastAsia="楷体_GB2312"/>
          <w:b/>
          <w:color w:val="000000"/>
          <w:sz w:val="32"/>
          <w:szCs w:val="32"/>
        </w:rPr>
        <w:t>实现行政执法“三项制度”全覆盖。</w:t>
      </w:r>
      <w:r>
        <w:rPr>
          <w:rFonts w:eastAsia="仿宋_GB2312"/>
          <w:kern w:val="0"/>
          <w:sz w:val="32"/>
          <w:szCs w:val="32"/>
        </w:rPr>
        <w:t>按照省、市部署，进一步推进行政执法“三项制度”的贯彻落实。在去年调整制定区行政执法三项制度及相应工作方案的基础上，今年重在抓好贯彻落实。部门层面，重点是抓好三项制度配套制度的修改完善，结合区权力库调整，及时调整公示信息，落实音视频信息的档案管理制度，加强执法决定法制审核。镇街道层面，重点抓好制度制定、培训工作。最终实现区、镇两级行政执法“三项制度”全覆盖。</w:t>
      </w:r>
    </w:p>
    <w:p>
      <w:pPr>
        <w:ind w:firstLine="643" w:firstLineChars="200"/>
        <w:rPr>
          <w:rFonts w:eastAsia="仿宋_GB2312"/>
          <w:sz w:val="32"/>
          <w:szCs w:val="32"/>
        </w:rPr>
      </w:pPr>
      <w:r>
        <w:rPr>
          <w:rFonts w:eastAsia="仿宋_GB2312"/>
          <w:b/>
          <w:sz w:val="32"/>
          <w:szCs w:val="32"/>
        </w:rPr>
        <w:t>2、制定并落实年度行政执法监督工作计划。</w:t>
      </w:r>
      <w:r>
        <w:rPr>
          <w:rFonts w:eastAsia="仿宋_GB2312"/>
          <w:sz w:val="32"/>
          <w:szCs w:val="32"/>
        </w:rPr>
        <w:t>开展野生动物领域、新冠肺炎疫情防控卫生健康</w:t>
      </w:r>
      <w:r>
        <w:rPr>
          <w:rFonts w:hint="eastAsia" w:eastAsia="仿宋_GB2312"/>
          <w:sz w:val="32"/>
          <w:szCs w:val="32"/>
        </w:rPr>
        <w:t>、</w:t>
      </w:r>
      <w:r>
        <w:rPr>
          <w:rFonts w:eastAsia="仿宋_GB2312"/>
          <w:sz w:val="32"/>
          <w:szCs w:val="32"/>
        </w:rPr>
        <w:t>城市管理</w:t>
      </w:r>
      <w:r>
        <w:rPr>
          <w:rFonts w:hint="eastAsia" w:eastAsia="仿宋_GB2312"/>
          <w:sz w:val="32"/>
          <w:szCs w:val="32"/>
        </w:rPr>
        <w:t>、</w:t>
      </w:r>
      <w:r>
        <w:rPr>
          <w:rFonts w:eastAsia="仿宋_GB2312"/>
          <w:sz w:val="32"/>
          <w:szCs w:val="32"/>
        </w:rPr>
        <w:t>住建</w:t>
      </w:r>
      <w:r>
        <w:rPr>
          <w:rFonts w:hint="eastAsia" w:eastAsia="仿宋_GB2312"/>
          <w:sz w:val="32"/>
          <w:szCs w:val="32"/>
        </w:rPr>
        <w:t>、</w:t>
      </w:r>
      <w:r>
        <w:rPr>
          <w:rFonts w:eastAsia="仿宋_GB2312"/>
          <w:sz w:val="32"/>
          <w:szCs w:val="32"/>
        </w:rPr>
        <w:t>人社</w:t>
      </w:r>
      <w:r>
        <w:rPr>
          <w:rFonts w:hint="eastAsia" w:eastAsia="仿宋_GB2312"/>
          <w:sz w:val="32"/>
          <w:szCs w:val="32"/>
        </w:rPr>
        <w:t>、</w:t>
      </w:r>
      <w:r>
        <w:rPr>
          <w:rFonts w:eastAsia="仿宋_GB2312"/>
          <w:sz w:val="32"/>
          <w:szCs w:val="32"/>
        </w:rPr>
        <w:t>应急管理等领域专项执法督查，督查对象包括</w:t>
      </w:r>
      <w:r>
        <w:rPr>
          <w:rFonts w:hint="eastAsia" w:eastAsia="仿宋_GB2312"/>
          <w:sz w:val="32"/>
          <w:szCs w:val="32"/>
        </w:rPr>
        <w:t>各</w:t>
      </w:r>
      <w:r>
        <w:rPr>
          <w:rFonts w:eastAsia="仿宋_GB2312"/>
          <w:sz w:val="32"/>
          <w:szCs w:val="32"/>
        </w:rPr>
        <w:t>重点执法部门等。开展所有执法单位案卷评查，后期将向所有被评查部门出具书面督察意见反馈书，督促各部门整改提高。</w:t>
      </w:r>
    </w:p>
    <w:p>
      <w:pPr>
        <w:spacing w:line="580" w:lineRule="exact"/>
        <w:ind w:firstLine="643" w:firstLineChars="200"/>
        <w:rPr>
          <w:rFonts w:eastAsia="仿宋_GB2312"/>
          <w:sz w:val="32"/>
          <w:szCs w:val="32"/>
        </w:rPr>
      </w:pPr>
      <w:r>
        <w:rPr>
          <w:rFonts w:eastAsia="仿宋_GB2312"/>
          <w:b/>
          <w:sz w:val="32"/>
          <w:szCs w:val="32"/>
        </w:rPr>
        <w:t>3.</w:t>
      </w:r>
      <w:r>
        <w:rPr>
          <w:rFonts w:eastAsia="楷体_GB2312"/>
          <w:b/>
          <w:color w:val="000000"/>
          <w:sz w:val="32"/>
          <w:szCs w:val="32"/>
        </w:rPr>
        <w:t xml:space="preserve"> 落实涉企执法审慎包容机制。</w:t>
      </w:r>
      <w:r>
        <w:rPr>
          <w:rFonts w:eastAsia="仿宋_GB2312"/>
          <w:sz w:val="32"/>
          <w:szCs w:val="32"/>
        </w:rPr>
        <w:t>区监委与区司法局联合转发了市监委和市司法局联合制定的规范涉企轻微违法行为不予处罚和一般违法行为从轻减轻行政处罚的实施意见、实施细则和两张清单，要求区各涉企执法部门严格贯彻落实。在区法治政府建设大会上，毛伟区长对此作了重点强调，认为这一举措充分体现了优化营商环境的宗旨。目前，我区各涉企部门正在全面抓好贯彻落实。区司法局将按照市局要求，定期做好相关统计工作和执行情况报告。</w:t>
      </w:r>
    </w:p>
    <w:p>
      <w:pPr>
        <w:ind w:firstLine="643" w:firstLineChars="200"/>
        <w:rPr>
          <w:rFonts w:eastAsia="楷体"/>
          <w:b/>
          <w:sz w:val="32"/>
          <w:szCs w:val="32"/>
        </w:rPr>
      </w:pPr>
      <w:r>
        <w:rPr>
          <w:rFonts w:eastAsia="楷体"/>
          <w:b/>
          <w:sz w:val="32"/>
          <w:szCs w:val="32"/>
        </w:rPr>
        <w:t>（五）行政权力制约监督体系作用凸显</w:t>
      </w:r>
    </w:p>
    <w:p>
      <w:pPr>
        <w:spacing w:line="580" w:lineRule="exact"/>
        <w:ind w:firstLine="643" w:firstLineChars="200"/>
        <w:rPr>
          <w:rFonts w:eastAsia="仿宋_GB2312"/>
          <w:sz w:val="32"/>
          <w:szCs w:val="32"/>
        </w:rPr>
      </w:pPr>
      <w:r>
        <w:rPr>
          <w:rFonts w:eastAsia="楷体"/>
          <w:b/>
          <w:sz w:val="32"/>
          <w:szCs w:val="32"/>
        </w:rPr>
        <w:t>1、</w:t>
      </w:r>
      <w:r>
        <w:rPr>
          <w:rFonts w:eastAsia="仿宋_GB2312"/>
          <w:b/>
          <w:kern w:val="0"/>
          <w:sz w:val="32"/>
        </w:rPr>
        <w:t>加强行政机关负责人出庭应诉机制建设。</w:t>
      </w:r>
      <w:r>
        <w:rPr>
          <w:rFonts w:eastAsia="仿宋_GB2312"/>
          <w:sz w:val="32"/>
          <w:szCs w:val="32"/>
        </w:rPr>
        <w:t>在去年出台《苏州高新区（虎丘区）行政机关负责人出庭应诉办法》的基础上，今年要抓好贯彻落实工作，促进行政机关负责人出庭应诉率的提升。对于区政府与区内单位共同被告的行政诉讼案件，区司法局在每个案件开庭前，都向第一被告单位发送行政应诉提示函，要求第一被告单位安排负责人出庭应诉，并将出庭人员信息报区司法局备案。对于各部门各镇街道为单独被告的行政诉讼案件，区司法局印发通知，要求各地各部门严格落实负责人出庭应诉制度，并定期将负责人出庭应诉信息向区司法局备案。下阶段，按照省、市要求，区司法局还将组织区有关部门负责人参加行政诉讼案件的庭审旁听工作。</w:t>
      </w:r>
    </w:p>
    <w:p>
      <w:pPr>
        <w:ind w:firstLine="643" w:firstLineChars="200"/>
        <w:rPr>
          <w:rFonts w:eastAsia="仿宋_GB2312"/>
          <w:kern w:val="0"/>
          <w:sz w:val="32"/>
          <w:szCs w:val="32"/>
        </w:rPr>
      </w:pPr>
      <w:r>
        <w:rPr>
          <w:rFonts w:eastAsia="仿宋_GB2312"/>
          <w:b/>
          <w:sz w:val="32"/>
          <w:szCs w:val="32"/>
        </w:rPr>
        <w:t>2、加强政府诚信体系建设。</w:t>
      </w:r>
      <w:r>
        <w:rPr>
          <w:rFonts w:eastAsia="仿宋_GB2312"/>
          <w:sz w:val="32"/>
          <w:szCs w:val="32"/>
        </w:rPr>
        <w:t>调整优化区社会信用体系建设工作领导小组，制定出台《202</w:t>
      </w:r>
      <w:r>
        <w:rPr>
          <w:rFonts w:hint="eastAsia" w:eastAsia="仿宋_GB2312"/>
          <w:sz w:val="32"/>
          <w:szCs w:val="32"/>
          <w:lang w:val="en-US" w:eastAsia="zh-CN"/>
        </w:rPr>
        <w:t>1</w:t>
      </w:r>
      <w:r>
        <w:rPr>
          <w:rFonts w:eastAsia="仿宋_GB2312"/>
          <w:sz w:val="32"/>
          <w:szCs w:val="32"/>
        </w:rPr>
        <w:t>年苏州高新区社会信用体系建设工作要点》，各部门、各镇（街道、功能区）积极贯彻落实。深入开展行政执法行政处罚、行政许可双公示工作，21个执法部门认领事项3031项。截至目前，高新区累计收集“双公示”信息51854条，其中行政许可41795条，行政处罚10059条。</w:t>
      </w:r>
    </w:p>
    <w:p>
      <w:pPr>
        <w:spacing w:line="560" w:lineRule="exact"/>
        <w:ind w:firstLine="643" w:firstLineChars="200"/>
        <w:rPr>
          <w:rFonts w:eastAsia="仿宋_GB2312"/>
          <w:kern w:val="0"/>
          <w:sz w:val="32"/>
          <w:szCs w:val="32"/>
        </w:rPr>
      </w:pPr>
      <w:r>
        <w:rPr>
          <w:rFonts w:eastAsia="仿宋_GB2312"/>
          <w:b/>
          <w:kern w:val="0"/>
          <w:sz w:val="32"/>
          <w:szCs w:val="32"/>
        </w:rPr>
        <w:t>3、加大政府信息公开力度。</w:t>
      </w:r>
      <w:r>
        <w:rPr>
          <w:rFonts w:eastAsia="仿宋_GB2312"/>
          <w:color w:val="000000"/>
          <w:spacing w:val="-4"/>
          <w:sz w:val="32"/>
          <w:szCs w:val="32"/>
        </w:rPr>
        <w:t>2</w:t>
      </w:r>
      <w:r>
        <w:rPr>
          <w:rFonts w:eastAsia="仿宋_GB2312"/>
          <w:kern w:val="0"/>
          <w:sz w:val="32"/>
          <w:szCs w:val="32"/>
        </w:rPr>
        <w:t>02</w:t>
      </w:r>
      <w:r>
        <w:rPr>
          <w:rFonts w:hint="eastAsia" w:eastAsia="仿宋_GB2312"/>
          <w:kern w:val="0"/>
          <w:sz w:val="32"/>
          <w:szCs w:val="32"/>
          <w:lang w:val="en-US" w:eastAsia="zh-CN"/>
        </w:rPr>
        <w:t>1</w:t>
      </w:r>
      <w:r>
        <w:rPr>
          <w:rFonts w:eastAsia="仿宋_GB2312"/>
          <w:kern w:val="0"/>
          <w:sz w:val="32"/>
          <w:szCs w:val="32"/>
        </w:rPr>
        <w:t>年，我区深入贯彻新修订的《中华人民共和国政府信息公开条例》以及省、市政府关于深化政务公开工作的相关文件精神，不断建立健全政务公开领导机构和工作体系，实行政务公开责任制，完善政府信息主动公开工作流程，努力把高新区政府门户网站打造成最权威的政策发布解读和舆论引导平台。202</w:t>
      </w:r>
      <w:r>
        <w:rPr>
          <w:rFonts w:hint="eastAsia" w:eastAsia="仿宋_GB2312"/>
          <w:kern w:val="0"/>
          <w:sz w:val="32"/>
          <w:szCs w:val="32"/>
          <w:lang w:val="en-US" w:eastAsia="zh-CN"/>
        </w:rPr>
        <w:t>1</w:t>
      </w:r>
      <w:r>
        <w:rPr>
          <w:rFonts w:eastAsia="仿宋_GB2312"/>
          <w:kern w:val="0"/>
          <w:sz w:val="32"/>
          <w:szCs w:val="32"/>
        </w:rPr>
        <w:t>年区政府门户网站共发布信息</w:t>
      </w:r>
      <w:r>
        <w:rPr>
          <w:rFonts w:hint="eastAsia" w:eastAsia="仿宋_GB2312"/>
          <w:kern w:val="0"/>
          <w:sz w:val="32"/>
          <w:szCs w:val="32"/>
        </w:rPr>
        <w:t>7007</w:t>
      </w:r>
      <w:r>
        <w:rPr>
          <w:rFonts w:eastAsia="仿宋_GB2312"/>
          <w:kern w:val="0"/>
          <w:sz w:val="32"/>
          <w:szCs w:val="32"/>
        </w:rPr>
        <w:t>条，其中重点领域政务信息公开</w:t>
      </w:r>
      <w:r>
        <w:rPr>
          <w:rFonts w:hint="eastAsia" w:eastAsia="仿宋_GB2312"/>
          <w:kern w:val="0"/>
          <w:sz w:val="32"/>
          <w:szCs w:val="32"/>
        </w:rPr>
        <w:t>539</w:t>
      </w:r>
      <w:r>
        <w:rPr>
          <w:rFonts w:eastAsia="仿宋_GB2312"/>
          <w:kern w:val="0"/>
          <w:sz w:val="32"/>
          <w:szCs w:val="32"/>
        </w:rPr>
        <w:t>条。严格落实省政府办公厅下发的《关于规范政府信息依申请公开办理程序的意见》（苏政办发〔2018〕112号），依法处理好依申请公开政府信息的答复工作，做好“苏州市依申请公开综合管理系统”的运行维护工作。202</w:t>
      </w:r>
      <w:r>
        <w:rPr>
          <w:rFonts w:hint="eastAsia" w:eastAsia="仿宋_GB2312"/>
          <w:kern w:val="0"/>
          <w:sz w:val="32"/>
          <w:szCs w:val="32"/>
          <w:lang w:val="en-US" w:eastAsia="zh-CN"/>
        </w:rPr>
        <w:t>1</w:t>
      </w:r>
      <w:bookmarkStart w:id="0" w:name="_GoBack"/>
      <w:bookmarkEnd w:id="0"/>
      <w:r>
        <w:rPr>
          <w:rFonts w:eastAsia="仿宋_GB2312"/>
          <w:kern w:val="0"/>
          <w:sz w:val="32"/>
          <w:szCs w:val="32"/>
        </w:rPr>
        <w:t>年全区共计收到并妥善处理依申请公开申请</w:t>
      </w:r>
      <w:r>
        <w:rPr>
          <w:rFonts w:hint="eastAsia" w:eastAsia="仿宋_GB2312"/>
          <w:kern w:val="0"/>
          <w:sz w:val="32"/>
          <w:szCs w:val="32"/>
        </w:rPr>
        <w:t>148</w:t>
      </w:r>
      <w:r>
        <w:rPr>
          <w:rFonts w:eastAsia="仿宋_GB2312"/>
          <w:kern w:val="0"/>
          <w:sz w:val="32"/>
          <w:szCs w:val="32"/>
        </w:rPr>
        <w:t>件。切实加强政务新媒体规范发展，对 “两微一端”等政务公开和服务号进行规范管理，切实发挥政务新媒体政务公开新型平台的作用，增强政民互动功能，提升办事服务功能。</w:t>
      </w:r>
    </w:p>
    <w:p>
      <w:pPr>
        <w:ind w:firstLine="643" w:firstLineChars="200"/>
        <w:rPr>
          <w:rFonts w:eastAsia="楷体"/>
          <w:b/>
          <w:sz w:val="32"/>
          <w:szCs w:val="32"/>
        </w:rPr>
      </w:pPr>
      <w:r>
        <w:rPr>
          <w:rFonts w:eastAsia="楷体"/>
          <w:b/>
          <w:sz w:val="32"/>
          <w:szCs w:val="32"/>
        </w:rPr>
        <w:t>（六）社会矛盾有效化解</w:t>
      </w:r>
    </w:p>
    <w:p>
      <w:pPr>
        <w:ind w:firstLine="643" w:firstLineChars="200"/>
        <w:rPr>
          <w:rFonts w:eastAsia="仿宋_GB2312"/>
          <w:kern w:val="0"/>
          <w:sz w:val="32"/>
          <w:szCs w:val="32"/>
        </w:rPr>
      </w:pPr>
      <w:r>
        <w:rPr>
          <w:rFonts w:eastAsia="仿宋_GB2312"/>
          <w:b/>
          <w:sz w:val="32"/>
          <w:szCs w:val="32"/>
        </w:rPr>
        <w:t>1、行政复议体制机制健全。</w:t>
      </w:r>
      <w:r>
        <w:rPr>
          <w:rFonts w:eastAsia="仿宋_GB2312"/>
          <w:sz w:val="32"/>
          <w:szCs w:val="32"/>
        </w:rPr>
        <w:t>区行政复议受理中心（窗口）的接待室、听证室、阅卷室、档案室等功能处室齐全。各镇（街道、功能区）普遍设立行政复议受理点，方便群众提交行政复议申请。在通过省级行政复议规范化建设合格单位验收的基础上，进一步健全行政复议案件审理机制，提升行政复议办案质量。全年</w:t>
      </w:r>
      <w:r>
        <w:rPr>
          <w:rFonts w:eastAsia="仿宋_GB2312"/>
          <w:kern w:val="0"/>
          <w:sz w:val="32"/>
          <w:szCs w:val="32"/>
        </w:rPr>
        <w:t>共受理行政复议案件</w:t>
      </w:r>
      <w:r>
        <w:rPr>
          <w:rFonts w:hint="eastAsia" w:eastAsia="仿宋_GB2312"/>
          <w:kern w:val="0"/>
          <w:sz w:val="32"/>
          <w:szCs w:val="32"/>
        </w:rPr>
        <w:t>20</w:t>
      </w:r>
      <w:r>
        <w:rPr>
          <w:rFonts w:eastAsia="仿宋_GB2312"/>
          <w:kern w:val="0"/>
          <w:sz w:val="32"/>
          <w:szCs w:val="32"/>
        </w:rPr>
        <w:t>件，办结</w:t>
      </w:r>
      <w:r>
        <w:rPr>
          <w:rFonts w:hint="eastAsia" w:eastAsia="仿宋_GB2312"/>
          <w:kern w:val="0"/>
          <w:sz w:val="32"/>
          <w:szCs w:val="32"/>
        </w:rPr>
        <w:t>19</w:t>
      </w:r>
      <w:r>
        <w:rPr>
          <w:rFonts w:eastAsia="仿宋_GB2312"/>
          <w:kern w:val="0"/>
          <w:sz w:val="32"/>
          <w:szCs w:val="32"/>
        </w:rPr>
        <w:t>件。运用行政复议办案统计系统开展办案数据、信息的上报，定期提交统计分析报告。</w:t>
      </w:r>
    </w:p>
    <w:p>
      <w:pPr>
        <w:spacing w:line="560" w:lineRule="exact"/>
        <w:ind w:firstLine="643" w:firstLineChars="200"/>
        <w:rPr>
          <w:rFonts w:eastAsia="仿宋_GB2312"/>
          <w:sz w:val="32"/>
          <w:szCs w:val="32"/>
        </w:rPr>
      </w:pPr>
      <w:r>
        <w:rPr>
          <w:rFonts w:eastAsia="仿宋_GB2312"/>
          <w:b/>
          <w:kern w:val="0"/>
          <w:sz w:val="32"/>
          <w:szCs w:val="32"/>
        </w:rPr>
        <w:t>2、</w:t>
      </w:r>
      <w:r>
        <w:rPr>
          <w:rFonts w:eastAsia="仿宋_GB2312"/>
          <w:b/>
          <w:sz w:val="32"/>
          <w:szCs w:val="32"/>
        </w:rPr>
        <w:t>非诉讼纠纷解决机制稳步践行。</w:t>
      </w:r>
      <w:r>
        <w:rPr>
          <w:rFonts w:eastAsia="仿宋_GB2312"/>
          <w:sz w:val="32"/>
          <w:szCs w:val="32"/>
        </w:rPr>
        <w:t>依托区公共法律服务中心及法院诉讼服务中心，设立区非诉讼服务中心和法院分中心，司法行政非诉平台与“江苏微解纷”APP衔接流畅，案件分派流转及时规范，初步实现了矛盾纠纷一个窗口受理、一站式流转、一体化调处。同时，将人民调解、与基层网格治理结合起来，明确婚姻家庭等五类常见纠纷在网格内前置化解。指导各类道德模范成立个人调解室共15个。今年1至5月，全区人民调解组织共调处各类民间纠纷2851件，调解率、调解成功率及协议履行率均为100%；行政调解1851件；律师调解室成立以来共成功调处纠纷172件；未发生因调解工作不及时、不到位、民间纠纷转化为治安案件、刑事案件的情况。同时，增聘三名律师调解员助力“检调对接”专业化提升。</w:t>
      </w:r>
    </w:p>
    <w:p>
      <w:pPr>
        <w:spacing w:line="560" w:lineRule="exact"/>
        <w:ind w:firstLine="643" w:firstLineChars="200"/>
        <w:rPr>
          <w:rFonts w:eastAsia="仿宋_GB2312"/>
          <w:sz w:val="32"/>
          <w:szCs w:val="32"/>
        </w:rPr>
      </w:pPr>
      <w:r>
        <w:rPr>
          <w:rFonts w:eastAsia="楷体"/>
          <w:b/>
          <w:sz w:val="32"/>
          <w:szCs w:val="32"/>
        </w:rPr>
        <w:t>3、行政调解职能有效发挥。</w:t>
      </w:r>
      <w:r>
        <w:rPr>
          <w:rFonts w:eastAsia="仿宋_GB2312"/>
          <w:sz w:val="32"/>
          <w:szCs w:val="32"/>
        </w:rPr>
        <w:t>建立健全区政府总负责，司法行政部门牵头，各职能部门为主体的行政调解工作机制。区人力资源和社会保障局、市场监督管理局等部门共办理各类行政调解案件</w:t>
      </w:r>
      <w:r>
        <w:rPr>
          <w:rFonts w:hint="eastAsia" w:eastAsia="仿宋_GB2312"/>
          <w:sz w:val="32"/>
          <w:szCs w:val="32"/>
        </w:rPr>
        <w:t>8494</w:t>
      </w:r>
      <w:r>
        <w:rPr>
          <w:rFonts w:eastAsia="仿宋_GB2312"/>
          <w:sz w:val="32"/>
          <w:szCs w:val="32"/>
        </w:rPr>
        <w:t>件。</w:t>
      </w:r>
    </w:p>
    <w:p>
      <w:pPr>
        <w:rPr>
          <w:rFonts w:eastAsia="仿宋_GB2312"/>
          <w:sz w:val="32"/>
          <w:szCs w:val="32"/>
        </w:rPr>
      </w:pPr>
      <w:r>
        <w:rPr>
          <w:rFonts w:eastAsia="楷体"/>
          <w:b/>
          <w:sz w:val="32"/>
          <w:szCs w:val="32"/>
        </w:rPr>
        <w:t xml:space="preserve">    </w:t>
      </w: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ind w:firstLine="640" w:firstLineChars="200"/>
        <w:rPr>
          <w:rFonts w:eastAsia="仿宋_GB2312"/>
          <w:sz w:val="32"/>
          <w:szCs w:val="32"/>
        </w:rPr>
      </w:pPr>
    </w:p>
    <w:p>
      <w:pPr>
        <w:spacing w:line="360" w:lineRule="auto"/>
        <w:rPr>
          <w:rFonts w:eastAsia="仿宋_GB2312"/>
          <w:sz w:val="32"/>
          <w:szCs w:val="32"/>
        </w:rPr>
      </w:pPr>
    </w:p>
    <w:p>
      <w:pPr>
        <w:spacing w:line="360" w:lineRule="auto"/>
        <w:rPr>
          <w:rFonts w:eastAsia="仿宋_GB2312"/>
          <w:sz w:val="32"/>
          <w:szCs w:val="32"/>
          <w:u w:val="single"/>
        </w:rPr>
      </w:pPr>
      <w:r>
        <w:rPr>
          <w:rFonts w:eastAsia="仿宋_GB2312"/>
          <w:sz w:val="32"/>
          <w:szCs w:val="32"/>
          <w:u w:val="single"/>
        </w:rPr>
        <w:t xml:space="preserve">                                                </w:t>
      </w:r>
    </w:p>
    <w:p>
      <w:pPr>
        <w:adjustRightInd w:val="0"/>
        <w:snapToGrid w:val="0"/>
        <w:rPr>
          <w:rFonts w:eastAsia="仿宋_GB2312"/>
          <w:sz w:val="28"/>
          <w:szCs w:val="28"/>
        </w:rPr>
      </w:pPr>
      <w:r>
        <w:rPr>
          <w:rFonts w:eastAsia="仿宋_GB2312"/>
          <w:sz w:val="28"/>
          <w:szCs w:val="28"/>
        </w:rPr>
        <w:t>抄报：市建设法治政府工作领导小组办公室，区党（工）委、区人大常委会</w:t>
      </w:r>
    </w:p>
    <w:p>
      <w:pPr>
        <w:pBdr>
          <w:top w:val="single" w:color="auto" w:sz="4" w:space="1"/>
          <w:bottom w:val="single" w:color="auto" w:sz="4" w:space="1"/>
          <w:between w:val="single" w:color="auto" w:sz="4" w:space="1"/>
        </w:pBdr>
        <w:adjustRightInd w:val="0"/>
        <w:snapToGrid w:val="0"/>
        <w:rPr>
          <w:w w:val="95"/>
          <w:sz w:val="28"/>
          <w:szCs w:val="28"/>
        </w:rPr>
      </w:pPr>
      <w:r>
        <w:rPr>
          <w:rFonts w:eastAsia="仿宋_GB2312"/>
          <w:color w:val="000000"/>
          <w:sz w:val="28"/>
          <w:szCs w:val="28"/>
        </w:rPr>
        <w:t>苏州高新区（虎丘区）党政办公室         202</w:t>
      </w:r>
      <w:r>
        <w:rPr>
          <w:rFonts w:hint="eastAsia" w:eastAsia="仿宋_GB2312"/>
          <w:color w:val="000000"/>
          <w:sz w:val="28"/>
          <w:szCs w:val="28"/>
          <w:lang w:val="en-US" w:eastAsia="zh-CN"/>
        </w:rPr>
        <w:t>1</w:t>
      </w:r>
      <w:r>
        <w:rPr>
          <w:rFonts w:eastAsia="仿宋_GB2312"/>
          <w:color w:val="000000"/>
          <w:sz w:val="28"/>
          <w:szCs w:val="28"/>
        </w:rPr>
        <w:t>年</w:t>
      </w:r>
      <w:r>
        <w:rPr>
          <w:rFonts w:hint="eastAsia" w:eastAsia="仿宋_GB2312"/>
          <w:color w:val="000000"/>
          <w:sz w:val="28"/>
          <w:szCs w:val="28"/>
        </w:rPr>
        <w:t>12</w:t>
      </w:r>
      <w:r>
        <w:rPr>
          <w:rFonts w:eastAsia="仿宋_GB2312"/>
          <w:color w:val="000000"/>
          <w:sz w:val="28"/>
          <w:szCs w:val="28"/>
        </w:rPr>
        <w:t>月</w:t>
      </w:r>
      <w:r>
        <w:rPr>
          <w:rFonts w:hint="eastAsia" w:eastAsia="仿宋_GB2312"/>
          <w:color w:val="000000"/>
          <w:sz w:val="28"/>
          <w:szCs w:val="28"/>
          <w:lang w:val="en-US" w:eastAsia="zh-CN"/>
        </w:rPr>
        <w:t>2</w:t>
      </w:r>
      <w:r>
        <w:rPr>
          <w:rFonts w:eastAsia="仿宋_GB2312"/>
          <w:color w:val="000000"/>
          <w:sz w:val="28"/>
          <w:szCs w:val="28"/>
        </w:rPr>
        <w:t>日印发</w:t>
      </w: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小标宋">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page" w:x="9351" w:y="-254"/>
      <w:rPr>
        <w:rStyle w:val="8"/>
        <w:sz w:val="28"/>
        <w:szCs w:val="28"/>
      </w:rPr>
    </w:pPr>
    <w:r>
      <w:rPr>
        <w:rStyle w:val="8"/>
        <w:rFonts w:hint="eastAsia"/>
        <w:sz w:val="28"/>
        <w:szCs w:val="28"/>
      </w:rPr>
      <w:t>—</w:t>
    </w: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9</w:t>
    </w:r>
    <w:r>
      <w:rPr>
        <w:sz w:val="28"/>
        <w:szCs w:val="28"/>
      </w:rPr>
      <w:fldChar w:fldCharType="end"/>
    </w:r>
    <w:r>
      <w:rPr>
        <w:rStyle w:val="8"/>
        <w:rFonts w:hint="eastAsia"/>
        <w:sz w:val="28"/>
        <w:szCs w:val="28"/>
      </w:rPr>
      <w:t>—</w:t>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page" w:x="1929" w:y="-254"/>
      <w:rPr>
        <w:rStyle w:val="8"/>
        <w:sz w:val="28"/>
        <w:szCs w:val="28"/>
      </w:rPr>
    </w:pPr>
    <w:r>
      <w:rPr>
        <w:rStyle w:val="8"/>
        <w:rFonts w:hint="eastAsia"/>
        <w:sz w:val="28"/>
        <w:szCs w:val="28"/>
      </w:rPr>
      <w:t>—</w:t>
    </w: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2</w:t>
    </w:r>
    <w:r>
      <w:rPr>
        <w:sz w:val="28"/>
        <w:szCs w:val="28"/>
      </w:rPr>
      <w:fldChar w:fldCharType="end"/>
    </w:r>
    <w:r>
      <w:rPr>
        <w:rStyle w:val="8"/>
        <w:rFonts w:hint="eastAsia"/>
        <w:sz w:val="28"/>
        <w:szCs w:val="28"/>
      </w:rPr>
      <w:t>—</w:t>
    </w:r>
  </w:p>
  <w:p>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BE3"/>
    <w:rsid w:val="000657CA"/>
    <w:rsid w:val="000722DA"/>
    <w:rsid w:val="000915B6"/>
    <w:rsid w:val="000C630A"/>
    <w:rsid w:val="000D447C"/>
    <w:rsid w:val="000E7895"/>
    <w:rsid w:val="000F7B18"/>
    <w:rsid w:val="001004B3"/>
    <w:rsid w:val="00121971"/>
    <w:rsid w:val="00131E82"/>
    <w:rsid w:val="00141B75"/>
    <w:rsid w:val="00163C6E"/>
    <w:rsid w:val="00193F63"/>
    <w:rsid w:val="001B4A2E"/>
    <w:rsid w:val="001C11E1"/>
    <w:rsid w:val="001D3353"/>
    <w:rsid w:val="00251924"/>
    <w:rsid w:val="002638CD"/>
    <w:rsid w:val="002819DC"/>
    <w:rsid w:val="00314BB3"/>
    <w:rsid w:val="003150F2"/>
    <w:rsid w:val="00327AED"/>
    <w:rsid w:val="00341460"/>
    <w:rsid w:val="00353118"/>
    <w:rsid w:val="003606D9"/>
    <w:rsid w:val="0036411A"/>
    <w:rsid w:val="00393CDA"/>
    <w:rsid w:val="003D75C5"/>
    <w:rsid w:val="003F4C27"/>
    <w:rsid w:val="004263EA"/>
    <w:rsid w:val="00445EAE"/>
    <w:rsid w:val="004931AC"/>
    <w:rsid w:val="004D4E67"/>
    <w:rsid w:val="004E2FF2"/>
    <w:rsid w:val="004F3622"/>
    <w:rsid w:val="004F5A00"/>
    <w:rsid w:val="00503729"/>
    <w:rsid w:val="0051134B"/>
    <w:rsid w:val="00515979"/>
    <w:rsid w:val="005318CF"/>
    <w:rsid w:val="0055497A"/>
    <w:rsid w:val="00595182"/>
    <w:rsid w:val="005D3B74"/>
    <w:rsid w:val="005F2775"/>
    <w:rsid w:val="00667E3B"/>
    <w:rsid w:val="00693CF9"/>
    <w:rsid w:val="006C2549"/>
    <w:rsid w:val="006D5BE9"/>
    <w:rsid w:val="006D7A9D"/>
    <w:rsid w:val="006E07FF"/>
    <w:rsid w:val="00716F3D"/>
    <w:rsid w:val="00732B6B"/>
    <w:rsid w:val="00746E19"/>
    <w:rsid w:val="00785F13"/>
    <w:rsid w:val="00792A2B"/>
    <w:rsid w:val="007A1FF7"/>
    <w:rsid w:val="007C6619"/>
    <w:rsid w:val="007E57A9"/>
    <w:rsid w:val="00813441"/>
    <w:rsid w:val="00871268"/>
    <w:rsid w:val="00894F8B"/>
    <w:rsid w:val="008C44A5"/>
    <w:rsid w:val="008C74F5"/>
    <w:rsid w:val="0091114C"/>
    <w:rsid w:val="0092354A"/>
    <w:rsid w:val="0093006E"/>
    <w:rsid w:val="00932745"/>
    <w:rsid w:val="00943086"/>
    <w:rsid w:val="00962894"/>
    <w:rsid w:val="00980572"/>
    <w:rsid w:val="00992A58"/>
    <w:rsid w:val="009A3674"/>
    <w:rsid w:val="009F0C9A"/>
    <w:rsid w:val="00A3582D"/>
    <w:rsid w:val="00A44AF2"/>
    <w:rsid w:val="00AA599F"/>
    <w:rsid w:val="00AB23C8"/>
    <w:rsid w:val="00AC33A6"/>
    <w:rsid w:val="00AF392C"/>
    <w:rsid w:val="00B13A85"/>
    <w:rsid w:val="00B14567"/>
    <w:rsid w:val="00B43E54"/>
    <w:rsid w:val="00B47EB2"/>
    <w:rsid w:val="00B603DC"/>
    <w:rsid w:val="00B6220E"/>
    <w:rsid w:val="00B631BA"/>
    <w:rsid w:val="00B81B50"/>
    <w:rsid w:val="00BA16D3"/>
    <w:rsid w:val="00BD3505"/>
    <w:rsid w:val="00BD3D83"/>
    <w:rsid w:val="00BF6A39"/>
    <w:rsid w:val="00C240AD"/>
    <w:rsid w:val="00C40A13"/>
    <w:rsid w:val="00C83E3A"/>
    <w:rsid w:val="00CC3507"/>
    <w:rsid w:val="00CE5D6E"/>
    <w:rsid w:val="00D30EF7"/>
    <w:rsid w:val="00D63FE7"/>
    <w:rsid w:val="00D656C9"/>
    <w:rsid w:val="00D979F9"/>
    <w:rsid w:val="00DD3012"/>
    <w:rsid w:val="00E24FDD"/>
    <w:rsid w:val="00E93399"/>
    <w:rsid w:val="00EB7BE3"/>
    <w:rsid w:val="00EE3435"/>
    <w:rsid w:val="00F12C4D"/>
    <w:rsid w:val="00F13D1B"/>
    <w:rsid w:val="00F1468A"/>
    <w:rsid w:val="00F64838"/>
    <w:rsid w:val="00F85FC4"/>
    <w:rsid w:val="00F964DE"/>
    <w:rsid w:val="00FB10DD"/>
    <w:rsid w:val="0BD33C10"/>
    <w:rsid w:val="15A95E9D"/>
    <w:rsid w:val="2D562CD6"/>
    <w:rsid w:val="37983E29"/>
    <w:rsid w:val="5B6C7A24"/>
    <w:rsid w:val="78BD7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2"/>
    <w:semiHidden/>
    <w:unhideWhenUsed/>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眉 Char"/>
    <w:basedOn w:val="7"/>
    <w:link w:val="5"/>
    <w:uiPriority w:val="99"/>
    <w:rPr>
      <w:rFonts w:ascii="Times New Roman" w:hAnsi="Times New Roman" w:eastAsia="宋体" w:cs="Times New Roman"/>
      <w:sz w:val="18"/>
      <w:szCs w:val="18"/>
    </w:rPr>
  </w:style>
  <w:style w:type="character" w:customStyle="1" w:styleId="10">
    <w:name w:val="页脚 Char"/>
    <w:basedOn w:val="7"/>
    <w:link w:val="4"/>
    <w:uiPriority w:val="99"/>
    <w:rPr>
      <w:rFonts w:ascii="Times New Roman" w:hAnsi="Times New Roman" w:eastAsia="宋体" w:cs="Times New Roman"/>
      <w:sz w:val="18"/>
      <w:szCs w:val="18"/>
    </w:rPr>
  </w:style>
  <w:style w:type="character" w:customStyle="1" w:styleId="11">
    <w:name w:val="批注框文本 Char"/>
    <w:basedOn w:val="7"/>
    <w:link w:val="3"/>
    <w:semiHidden/>
    <w:uiPriority w:val="99"/>
    <w:rPr>
      <w:rFonts w:ascii="Times New Roman" w:hAnsi="Times New Roman" w:eastAsia="宋体" w:cs="Times New Roman"/>
      <w:sz w:val="18"/>
      <w:szCs w:val="18"/>
    </w:rPr>
  </w:style>
  <w:style w:type="character" w:customStyle="1" w:styleId="12">
    <w:name w:val="日期 Char"/>
    <w:basedOn w:val="7"/>
    <w:link w:val="2"/>
    <w:semiHidden/>
    <w:uiPriority w:val="99"/>
    <w:rPr>
      <w:rFonts w:ascii="Times New Roman" w:hAnsi="Times New Roman" w:eastAsia="宋体" w:cs="Times New Roman"/>
      <w:szCs w:val="24"/>
    </w:rPr>
  </w:style>
  <w:style w:type="paragraph" w:customStyle="1" w:styleId="13">
    <w:name w:val="Default"/>
    <w:qFormat/>
    <w:uiPriority w:val="0"/>
    <w:pPr>
      <w:widowControl w:val="0"/>
      <w:autoSpaceDE w:val="0"/>
      <w:autoSpaceDN w:val="0"/>
      <w:adjustRightInd w:val="0"/>
    </w:pPr>
    <w:rPr>
      <w:rFonts w:ascii="楷体_GB2312" w:hAnsi="Times New Roman" w:eastAsia="楷体_GB2312" w:cs="楷体_GB2312"/>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16C5C7-DD75-4DC8-B602-CBAEC07BECD9}">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10</Pages>
  <Words>667</Words>
  <Characters>3802</Characters>
  <Lines>31</Lines>
  <Paragraphs>8</Paragraphs>
  <TotalTime>1149</TotalTime>
  <ScaleCrop>false</ScaleCrop>
  <LinksUpToDate>false</LinksUpToDate>
  <CharactersWithSpaces>4461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2020-12-14T05:12:00Z</dcterms:created>
  <dc:creator>黄海</dc:creator>
  <cp:lastModifiedBy>xu.zhua</cp:lastModifiedBy>
  <cp:lastPrinted>2020-02-18T04:08:00Z</cp:lastPrinted>
  <dcterms:modified xsi:type="dcterms:W3CDTF">2021-12-07T01:42:35Z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7023EB93FB9D4711B84F174FC2CECCD6</vt:lpwstr>
  </property>
</Properties>
</file>