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580" w:lineRule="exact"/>
        <w:ind w:right="0"/>
        <w:jc w:val="center"/>
        <w:rPr>
          <w:rFonts w:ascii="小标宋" w:hAnsi="小标宋" w:eastAsia="小标宋" w:cs="小标宋"/>
          <w:sz w:val="40"/>
          <w:szCs w:val="44"/>
        </w:rPr>
      </w:pPr>
      <w:r>
        <w:rPr>
          <w:rFonts w:hint="eastAsia" w:ascii="小标宋" w:hAnsi="小标宋" w:eastAsia="小标宋" w:cs="小标宋"/>
          <w:sz w:val="40"/>
          <w:szCs w:val="44"/>
        </w:rPr>
        <w:t>苏州高新区（虎丘区）2023年度法治政府</w:t>
      </w:r>
    </w:p>
    <w:p>
      <w:pPr>
        <w:pStyle w:val="11"/>
        <w:spacing w:line="580" w:lineRule="exact"/>
        <w:ind w:right="0"/>
        <w:jc w:val="center"/>
        <w:rPr>
          <w:rFonts w:ascii="小标宋" w:hAnsi="小标宋" w:eastAsia="小标宋" w:cs="小标宋"/>
          <w:sz w:val="40"/>
          <w:szCs w:val="44"/>
        </w:rPr>
      </w:pPr>
      <w:r>
        <w:rPr>
          <w:rFonts w:hint="eastAsia" w:ascii="小标宋" w:hAnsi="小标宋" w:eastAsia="小标宋" w:cs="小标宋"/>
          <w:sz w:val="40"/>
          <w:szCs w:val="44"/>
        </w:rPr>
        <w:t>建设情况报告</w:t>
      </w:r>
    </w:p>
    <w:p>
      <w:pPr>
        <w:spacing w:line="240" w:lineRule="auto"/>
        <w:ind w:firstLine="300" w:firstLineChars="200"/>
        <w:rPr>
          <w:rFonts w:ascii="楷体_GB2312" w:hAnsi="Times New Roman" w:eastAsia="楷体_GB2312" w:cs="Times New Roman"/>
          <w:sz w:val="15"/>
          <w:szCs w:val="15"/>
        </w:rPr>
      </w:pPr>
    </w:p>
    <w:p>
      <w:pPr>
        <w:ind w:firstLine="420" w:firstLineChars="200"/>
        <w:rPr>
          <w:rFonts w:ascii="Times New Roman" w:hAnsi="Times New Roman" w:eastAsia="仿宋_GB2312" w:cs="Times New Roman"/>
          <w:szCs w:val="21"/>
        </w:rPr>
      </w:pPr>
    </w:p>
    <w:p>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2023年，苏州高新区（虎丘区）坚持以习近平新时代中国特色社会主义思想为指导，深入学习宣传贯彻党的二十大精神，全面贯彻习近平法治思想和习近平总书记对江苏工作重要指示精神，严格按照上级部署要求，扎实推进法治政府建设，为在新征程上全面推进中国式现代化“高新”实践提供坚实的法治保障。</w:t>
      </w:r>
      <w:bookmarkStart w:id="0" w:name="_GoBack"/>
      <w:bookmarkEnd w:id="0"/>
    </w:p>
    <w:p>
      <w:pPr>
        <w:spacing w:line="580" w:lineRule="exact"/>
        <w:ind w:firstLine="646"/>
        <w:rPr>
          <w:rFonts w:ascii="Times New Roman" w:hAnsi="Times New Roman" w:eastAsia="黑体" w:cs="Times New Roman"/>
          <w:bCs/>
          <w:sz w:val="32"/>
          <w:szCs w:val="32"/>
        </w:rPr>
      </w:pPr>
      <w:r>
        <w:rPr>
          <w:rFonts w:ascii="Times New Roman" w:hAnsi="Times New Roman" w:eastAsia="黑体" w:cs="Times New Roman"/>
          <w:bCs/>
          <w:sz w:val="32"/>
          <w:szCs w:val="32"/>
        </w:rPr>
        <w:t>一、推进法治政府建设的主要举措和成效</w:t>
      </w:r>
    </w:p>
    <w:p>
      <w:pPr>
        <w:spacing w:line="580" w:lineRule="exact"/>
        <w:ind w:firstLine="646"/>
        <w:rPr>
          <w:rFonts w:ascii="Times New Roman" w:hAnsi="Times New Roman" w:eastAsia="楷体_GB2312" w:cs="Times New Roman"/>
          <w:bCs/>
          <w:sz w:val="32"/>
          <w:szCs w:val="32"/>
        </w:rPr>
      </w:pPr>
      <w:r>
        <w:rPr>
          <w:rFonts w:ascii="Times New Roman" w:hAnsi="Times New Roman" w:eastAsia="楷体_GB2312" w:cs="Times New Roman"/>
          <w:bCs/>
          <w:sz w:val="32"/>
          <w:szCs w:val="32"/>
        </w:rPr>
        <w:t>（一）突出统筹协调，党的领导更加有力。</w:t>
      </w:r>
      <w:r>
        <w:rPr>
          <w:rFonts w:ascii="Times New Roman" w:hAnsi="Times New Roman" w:eastAsia="仿宋_GB2312" w:cs="Times New Roman"/>
          <w:b/>
          <w:sz w:val="32"/>
          <w:szCs w:val="32"/>
        </w:rPr>
        <w:t>一是强化政治引领。</w:t>
      </w:r>
      <w:r>
        <w:rPr>
          <w:rFonts w:ascii="Times New Roman" w:hAnsi="Times New Roman" w:eastAsia="仿宋_GB2312" w:cs="Times New Roman"/>
          <w:sz w:val="32"/>
          <w:szCs w:val="32"/>
        </w:rPr>
        <w:t>始终把学习宣传贯彻习近平法治思想作为重大政治任务，结合主题教育工作要求，印发《关于在全区各级党组织和广大党员干部中大兴调查研究的实施方案》，把依法治区纳入重点调研内容，推动中央和省委、市委法治决策部署在高新区落实到位。完成“一办四组”会议，以实际行动更加自觉深刻领悟“两个确立”的决定性意义，增强“四个意识”、坚定“四个自信”、做到“两个维护”。</w:t>
      </w:r>
      <w:r>
        <w:rPr>
          <w:rFonts w:ascii="Times New Roman" w:hAnsi="Times New Roman" w:eastAsia="仿宋_GB2312" w:cs="Times New Roman"/>
          <w:b/>
          <w:sz w:val="32"/>
          <w:szCs w:val="32"/>
        </w:rPr>
        <w:t>二是抓牢“关键少数”。</w:t>
      </w:r>
      <w:r>
        <w:rPr>
          <w:rFonts w:ascii="Times New Roman" w:hAnsi="Times New Roman" w:eastAsia="仿宋_GB2312" w:cs="Times New Roman"/>
          <w:sz w:val="32"/>
          <w:szCs w:val="32"/>
        </w:rPr>
        <w:t>全面落实党政主要负责人履行推进法治政府建设第一责任人职责，坚持领导干部带头尊法学法守法用法，区委理论学习中心组集中专题学法，</w:t>
      </w:r>
      <w:r>
        <w:rPr>
          <w:rFonts w:hint="eastAsia" w:ascii="Times New Roman" w:hAnsi="Times New Roman" w:eastAsia="仿宋_GB2312" w:cs="Times New Roman"/>
          <w:sz w:val="32"/>
          <w:szCs w:val="32"/>
        </w:rPr>
        <w:t>组织</w:t>
      </w:r>
      <w:r>
        <w:rPr>
          <w:rFonts w:ascii="Times New Roman" w:hAnsi="Times New Roman" w:eastAsia="仿宋_GB2312" w:cs="Times New Roman"/>
          <w:sz w:val="32"/>
          <w:szCs w:val="32"/>
        </w:rPr>
        <w:t>各地各部门专题学法。发挥区委依法治区办牵头抓总作用，推动区委依法治区委及其办公室、各协调小组召开会议6次，研究部署法治政府建设、执法领域监督检查、优化营商环境等法治领域重点工作并推动落实。</w:t>
      </w:r>
      <w:r>
        <w:rPr>
          <w:rFonts w:ascii="Times New Roman" w:hAnsi="Times New Roman" w:eastAsia="仿宋_GB2312" w:cs="Times New Roman"/>
          <w:b/>
          <w:sz w:val="32"/>
          <w:szCs w:val="32"/>
        </w:rPr>
        <w:t>三是加强组织领导。</w:t>
      </w:r>
      <w:r>
        <w:rPr>
          <w:rFonts w:ascii="Times New Roman" w:hAnsi="Times New Roman" w:eastAsia="仿宋_GB2312" w:cs="Times New Roman"/>
          <w:sz w:val="32"/>
          <w:szCs w:val="32"/>
        </w:rPr>
        <w:t>根据《法治政府建设实施纲要（2021-2025年）》和省、市相关要求，出台《苏州高新区（虎丘区）2023年法治政府建设工作要点》，确定加强党对法治政府建设的领导、增强政府依法履职效能、严格规范公正文明执法等8个方面31项具体任务，明确法治政府建设“时间表”“路线图”“责任状”。</w:t>
      </w:r>
      <w:r>
        <w:rPr>
          <w:rFonts w:ascii="Times New Roman" w:hAnsi="Times New Roman" w:eastAsia="仿宋_GB2312" w:cs="Times New Roman"/>
          <w:b/>
          <w:bCs/>
          <w:sz w:val="32"/>
          <w:szCs w:val="32"/>
        </w:rPr>
        <w:t>四是</w:t>
      </w:r>
      <w:r>
        <w:rPr>
          <w:rFonts w:ascii="Times New Roman" w:hAnsi="Times New Roman" w:eastAsia="仿宋_GB2312" w:cs="Times New Roman"/>
          <w:b/>
          <w:sz w:val="32"/>
          <w:szCs w:val="32"/>
        </w:rPr>
        <w:t>严格督察考核。</w:t>
      </w:r>
      <w:r>
        <w:rPr>
          <w:rFonts w:ascii="Times New Roman" w:hAnsi="Times New Roman" w:eastAsia="仿宋_GB2312" w:cs="Times New Roman"/>
          <w:sz w:val="32"/>
          <w:szCs w:val="32"/>
        </w:rPr>
        <w:t>健全区镇两级衔接、备案、审查等工作机制，完善法治政府建设情况年度报告制度和法治调研协调配合制度，将各地、各部门法治政府建设情况纳入年度考核。出台《苏州高新区2023年度法治督察工作计划》，重点对6个镇（街道）开展实地督察，提升法治政府建设质效。</w:t>
      </w:r>
    </w:p>
    <w:p>
      <w:pPr>
        <w:pStyle w:val="15"/>
        <w:snapToGrid w:val="0"/>
        <w:spacing w:beforeAutospacing="0" w:afterAutospacing="0" w:line="580" w:lineRule="exact"/>
        <w:ind w:firstLine="640" w:firstLineChars="200"/>
        <w:jc w:val="both"/>
        <w:rPr>
          <w:rFonts w:eastAsia="楷体_GB2312"/>
          <w:bCs/>
          <w:kern w:val="2"/>
          <w:sz w:val="32"/>
        </w:rPr>
      </w:pPr>
      <w:r>
        <w:rPr>
          <w:rFonts w:eastAsia="楷体_GB2312"/>
          <w:bCs/>
          <w:kern w:val="2"/>
          <w:sz w:val="32"/>
        </w:rPr>
        <w:t>（二）聚焦职能转变，履职效能更加优化。</w:t>
      </w:r>
      <w:r>
        <w:rPr>
          <w:b/>
          <w:bCs/>
          <w:kern w:val="2"/>
          <w:sz w:val="32"/>
        </w:rPr>
        <w:t>一是 “放管服”改革纵深推进。</w:t>
      </w:r>
      <w:r>
        <w:rPr>
          <w:kern w:val="2"/>
          <w:sz w:val="32"/>
        </w:rPr>
        <w:t>制定《苏州高新区2023年深化“放管服”改革打造一流政务环境工作方案》，打造“线上全链通”“线下一窗式”办理模式，实现企业开办、变更、注销均可全程网办。探索个体工商户集中登记模式，实现“个转企”直接变更登记。率先探索“政电联办”，获得《人民日报》《苏州日报》等多家权威平台宣传报道。出台《苏州高新区工程建设项目审批服务绿色通道工作方案》，构建项目“签约至落地”全生命周期审批服务体系。</w:t>
      </w:r>
      <w:r>
        <w:rPr>
          <w:b/>
          <w:bCs/>
          <w:kern w:val="2"/>
          <w:sz w:val="32"/>
        </w:rPr>
        <w:t>二是营商环境持续优化</w:t>
      </w:r>
      <w:r>
        <w:rPr>
          <w:kern w:val="2"/>
          <w:sz w:val="32"/>
        </w:rPr>
        <w:t>。成立全市首个苏绣品牌法治保障中心，区法院发布高新区刺绣行业合规经营法律风险提示，区检察院发布《能动履行检察职能 助力苏绣产业发展白皮书》，联合公检法发布《高新区贯彻落实“四敢”要求 完善知识产权法治保障机制实施》，凝聚多方合力，为</w:t>
      </w:r>
      <w:r>
        <w:rPr>
          <w:rFonts w:hint="eastAsia"/>
          <w:kern w:val="2"/>
          <w:sz w:val="32"/>
        </w:rPr>
        <w:t>知识产权</w:t>
      </w:r>
      <w:r>
        <w:rPr>
          <w:kern w:val="2"/>
          <w:sz w:val="32"/>
        </w:rPr>
        <w:t>从业者提供强有力法治保障。</w:t>
      </w:r>
      <w:r>
        <w:rPr>
          <w:rFonts w:hint="eastAsia"/>
          <w:kern w:val="2"/>
          <w:sz w:val="32"/>
        </w:rPr>
        <w:t>联合区法院、区企业服务中心、区律协合作共建中小投资者权益保护法律服务中心，保护各类投资者合法权益，构建中小投资者新生态。</w:t>
      </w:r>
      <w:r>
        <w:rPr>
          <w:b/>
          <w:bCs/>
          <w:kern w:val="2"/>
          <w:sz w:val="32"/>
        </w:rPr>
        <w:t>三是法律服务提质增效。</w:t>
      </w:r>
      <w:r>
        <w:rPr>
          <w:kern w:val="2"/>
          <w:sz w:val="32"/>
        </w:rPr>
        <w:t>充分发挥法律服务产业集聚示范区的平台作用，完善“产业链+法律服务”体系。成立“苏州市光子产业链+法律服务工作站”，组建苏州光子产业公共法律服务联盟。成立首个“法治惠企工作站”，以企业法治需求为导向，开展系列“个性化”惠企服务。主动对接行政监管部门及行业协会，通过建立企业合规指导法律服务站和行业协会企业合规经营指导中心，打造“一站式”服务企业平台。</w:t>
      </w:r>
    </w:p>
    <w:p>
      <w:pPr>
        <w:pStyle w:val="15"/>
        <w:snapToGrid w:val="0"/>
        <w:spacing w:beforeAutospacing="0" w:afterAutospacing="0" w:line="580" w:lineRule="exact"/>
        <w:ind w:firstLine="640" w:firstLineChars="200"/>
        <w:jc w:val="both"/>
        <w:rPr>
          <w:rFonts w:eastAsia="楷体_GB2312"/>
          <w:bCs/>
          <w:kern w:val="2"/>
          <w:sz w:val="32"/>
        </w:rPr>
      </w:pPr>
      <w:r>
        <w:rPr>
          <w:rFonts w:eastAsia="楷体_GB2312"/>
          <w:bCs/>
          <w:kern w:val="2"/>
          <w:sz w:val="32"/>
        </w:rPr>
        <w:t>（三）完善决策机制，依法行政更加科学。</w:t>
      </w:r>
      <w:r>
        <w:rPr>
          <w:b/>
          <w:bCs/>
          <w:kern w:val="2"/>
          <w:sz w:val="32"/>
        </w:rPr>
        <w:t>一是严格决策程序。</w:t>
      </w:r>
      <w:r>
        <w:rPr>
          <w:kern w:val="2"/>
          <w:sz w:val="32"/>
        </w:rPr>
        <w:t>深入推进重大行政决策规范化建设，坚持重大行政决策事项党委会上会研究。组织召开2023年全区重大行政决策推进会，科学民主合法确定重大行政决策项目，共确定区级项目2个，部门级项目2个，镇（街道）级项目3个。对重大行政决策主体、程序、内容进行“法律体检”，及时出具法律意见书，提出整改意见，推进依法决策。</w:t>
      </w:r>
      <w:r>
        <w:rPr>
          <w:b/>
          <w:bCs/>
          <w:kern w:val="2"/>
          <w:sz w:val="32"/>
        </w:rPr>
        <w:t>二是规范文件管理。</w:t>
      </w:r>
      <w:r>
        <w:rPr>
          <w:kern w:val="2"/>
          <w:sz w:val="32"/>
        </w:rPr>
        <w:t>完善全区行政规范性文件管理机制，确保本年度各类文件的报备率、及时率、规范率均继续保持100%。围绕行政处罚、安全生产等领域开展规范性文件清理2次，</w:t>
      </w:r>
      <w:r>
        <w:rPr>
          <w:rFonts w:hint="eastAsia"/>
          <w:kern w:val="2"/>
          <w:sz w:val="32"/>
        </w:rPr>
        <w:t>按要求严格</w:t>
      </w:r>
      <w:r>
        <w:rPr>
          <w:kern w:val="2"/>
          <w:sz w:val="32"/>
        </w:rPr>
        <w:t>审查各类区级文件。积极配合上级行政立法工作，对江苏省、苏州市的地方性法规、规章、行政规范性文件的征求意见稿和立法文件反馈意见24份。</w:t>
      </w:r>
      <w:r>
        <w:rPr>
          <w:b/>
          <w:bCs/>
          <w:kern w:val="2"/>
          <w:sz w:val="32"/>
        </w:rPr>
        <w:t>三是深化法律顾问制度。</w:t>
      </w:r>
      <w:r>
        <w:rPr>
          <w:kern w:val="2"/>
          <w:sz w:val="32"/>
        </w:rPr>
        <w:t>发挥政府法律顾问积极作用，在重点项目开展、起草规范性文件、制订重大行政决策、重要管理制度、合同签订等方面，给予严格审核、论证和风险评估，有效提高运用法治方式推动工作水平和可持续发展，避免风险隐患。</w:t>
      </w:r>
    </w:p>
    <w:p>
      <w:pPr>
        <w:pStyle w:val="15"/>
        <w:snapToGrid w:val="0"/>
        <w:spacing w:beforeAutospacing="0" w:afterAutospacing="0" w:line="580" w:lineRule="exact"/>
        <w:ind w:firstLine="640" w:firstLineChars="200"/>
        <w:jc w:val="both"/>
        <w:rPr>
          <w:rFonts w:eastAsia="楷体_GB2312"/>
          <w:bCs/>
          <w:kern w:val="2"/>
          <w:sz w:val="32"/>
        </w:rPr>
      </w:pPr>
      <w:r>
        <w:rPr>
          <w:rFonts w:eastAsia="楷体_GB2312"/>
          <w:bCs/>
          <w:kern w:val="2"/>
          <w:sz w:val="32"/>
        </w:rPr>
        <w:t>（四）</w:t>
      </w:r>
      <w:r>
        <w:rPr>
          <w:rFonts w:hint="eastAsia" w:eastAsia="楷体_GB2312"/>
          <w:bCs/>
          <w:kern w:val="2"/>
          <w:sz w:val="32"/>
        </w:rPr>
        <w:t>强化监督问效</w:t>
      </w:r>
      <w:r>
        <w:rPr>
          <w:rFonts w:eastAsia="楷体_GB2312"/>
          <w:bCs/>
          <w:kern w:val="2"/>
          <w:sz w:val="32"/>
        </w:rPr>
        <w:t>，</w:t>
      </w:r>
      <w:r>
        <w:rPr>
          <w:rFonts w:hint="eastAsia" w:eastAsia="楷体_GB2312"/>
          <w:bCs/>
          <w:kern w:val="2"/>
          <w:sz w:val="32"/>
        </w:rPr>
        <w:t>行政执法更加规范</w:t>
      </w:r>
      <w:r>
        <w:rPr>
          <w:rFonts w:eastAsia="楷体_GB2312"/>
          <w:bCs/>
          <w:kern w:val="2"/>
          <w:sz w:val="32"/>
        </w:rPr>
        <w:t>。</w:t>
      </w:r>
      <w:r>
        <w:rPr>
          <w:b/>
          <w:bCs/>
          <w:kern w:val="2"/>
          <w:sz w:val="32"/>
        </w:rPr>
        <w:t>一是强化执法监督。</w:t>
      </w:r>
      <w:r>
        <w:rPr>
          <w:kern w:val="2"/>
          <w:sz w:val="32"/>
        </w:rPr>
        <w:t>出台《苏州高新区2023年度行政执法监督工作计划》，组织开展重点领域、重点执法部门的专项执法检查活动；深入东渚街道、狮山街道等基层执法部门，开展执法规范化督查调研。大力推进全区道路交通安全和运输执法领域突出问题专项整治，聚焦“五大类问题”，开展现场查纠整治工作14次，各类宣传提示工作41场次，收集民意事项近9000件。</w:t>
      </w:r>
      <w:r>
        <w:rPr>
          <w:b/>
          <w:bCs/>
          <w:kern w:val="2"/>
          <w:sz w:val="32"/>
        </w:rPr>
        <w:t>二是提升执法能力。</w:t>
      </w:r>
      <w:r>
        <w:rPr>
          <w:kern w:val="2"/>
          <w:sz w:val="32"/>
        </w:rPr>
        <w:t>严格落实执法人员持证上岗制度，及时规范和清理行政执法监督平台中执法人员信息，组织68人参加新申领执法证考试，共换发执法证57件、执法监督证35件。组织全区700余名行政执法人员进行公共法律知识网上培训，提升执法人员业务能力。全面落实行政执法“三项制度”，推进“双随机、一公开”执法检查、多部门联合执法检查，切实提升执法水平。</w:t>
      </w:r>
      <w:r>
        <w:rPr>
          <w:b/>
          <w:bCs/>
          <w:kern w:val="2"/>
          <w:sz w:val="32"/>
        </w:rPr>
        <w:t>三是创新执法方式。</w:t>
      </w:r>
      <w:r>
        <w:rPr>
          <w:kern w:val="2"/>
          <w:sz w:val="32"/>
        </w:rPr>
        <w:t>贯彻苏州市涉企轻微违法行为免罚轻罚4.0版，运用政策辅导、行政建议、警示告诫、规劝提醒、走访约谈等方式，推行柔性执法。持续推行“一件事”改革，梳理100个“一件事”套餐清单，截至10月底省定“一件事”办件量累计达14507件，全区采用承诺制的办件量达363件。</w:t>
      </w:r>
    </w:p>
    <w:p>
      <w:pPr>
        <w:pStyle w:val="15"/>
        <w:snapToGrid w:val="0"/>
        <w:spacing w:beforeAutospacing="0" w:afterAutospacing="0" w:line="580" w:lineRule="exact"/>
        <w:ind w:firstLine="640" w:firstLineChars="200"/>
        <w:jc w:val="both"/>
        <w:rPr>
          <w:rFonts w:eastAsia="楷体_GB2312"/>
          <w:bCs/>
          <w:kern w:val="2"/>
          <w:sz w:val="32"/>
        </w:rPr>
      </w:pPr>
      <w:r>
        <w:rPr>
          <w:rFonts w:eastAsia="楷体_GB2312"/>
          <w:bCs/>
          <w:kern w:val="2"/>
          <w:sz w:val="32"/>
        </w:rPr>
        <w:t>（五）</w:t>
      </w:r>
      <w:r>
        <w:rPr>
          <w:rFonts w:hint="eastAsia" w:eastAsia="楷体_GB2312"/>
          <w:bCs/>
          <w:kern w:val="2"/>
          <w:sz w:val="32"/>
        </w:rPr>
        <w:t>加强</w:t>
      </w:r>
      <w:r>
        <w:rPr>
          <w:rFonts w:eastAsia="楷体_GB2312"/>
          <w:bCs/>
          <w:kern w:val="2"/>
          <w:sz w:val="32"/>
        </w:rPr>
        <w:t>制约监督，权力运行更加规范。</w:t>
      </w:r>
      <w:r>
        <w:rPr>
          <w:b/>
          <w:bCs/>
          <w:kern w:val="2"/>
          <w:sz w:val="32"/>
        </w:rPr>
        <w:t>一是自觉接受人大监督。</w:t>
      </w:r>
      <w:r>
        <w:rPr>
          <w:kern w:val="2"/>
          <w:sz w:val="32"/>
        </w:rPr>
        <w:t>依法向区人大常委会报告工作，认真研究办理区人大常委会审议意见，积极做好人大代表建议办理工作，扎实开展民生实事项目建设，全力配合“两官评议”工作、任后监督工作，规范性文件按时报送区人大常委会备案。全年共向区人大常委会会议、主任会议作工作报告24项，配合区人大常委会开展执法检查4次。</w:t>
      </w:r>
      <w:r>
        <w:rPr>
          <w:b/>
          <w:bCs/>
          <w:kern w:val="2"/>
          <w:sz w:val="32"/>
        </w:rPr>
        <w:t>二是持续推进民主监督。</w:t>
      </w:r>
      <w:r>
        <w:rPr>
          <w:rFonts w:hint="eastAsia"/>
          <w:kern w:val="2"/>
          <w:sz w:val="32"/>
        </w:rPr>
        <w:t>积极探索民主监督与司法监督、群众监督有机结合，接受政协关于“放管服改革”“狮山广场项目建设”“宗教事务法治化”“基层档案管理”等</w:t>
      </w:r>
      <w:r>
        <w:rPr>
          <w:kern w:val="2"/>
          <w:sz w:val="32"/>
        </w:rPr>
        <w:t>6个专题对口监督；全力配合政协对食品安全、乡村治理等领域开展专项民主评议，支持专项委员受聘成为法院调解员和检察院公益观察员，以法治形式实质性化解争议，助推问题解决。</w:t>
      </w:r>
      <w:r>
        <w:rPr>
          <w:b/>
          <w:bCs/>
          <w:kern w:val="2"/>
          <w:sz w:val="32"/>
        </w:rPr>
        <w:t>三是不断强化社会监督。</w:t>
      </w:r>
      <w:r>
        <w:rPr>
          <w:kern w:val="2"/>
          <w:sz w:val="32"/>
        </w:rPr>
        <w:t>完善政务公开工作机制和依申请公开答复工作流程，本级收到政府信息公开申请28件，均作出妥善答复，不断提升政府信息公开质量。2023年苏州高新区管委会（虎丘区人民政府）网站共发布信息4162条，其中重点领域政务信息778条，不断提高政府工作的透明度。</w:t>
      </w:r>
    </w:p>
    <w:p>
      <w:pPr>
        <w:pStyle w:val="15"/>
        <w:snapToGrid w:val="0"/>
        <w:spacing w:beforeAutospacing="0" w:afterAutospacing="0" w:line="580" w:lineRule="exact"/>
        <w:ind w:firstLine="640" w:firstLineChars="200"/>
        <w:jc w:val="both"/>
        <w:rPr>
          <w:rFonts w:eastAsia="楷体_GB2312"/>
          <w:bCs/>
          <w:kern w:val="2"/>
          <w:sz w:val="32"/>
        </w:rPr>
      </w:pPr>
      <w:r>
        <w:rPr>
          <w:rFonts w:eastAsia="楷体_GB2312"/>
          <w:bCs/>
          <w:kern w:val="2"/>
          <w:sz w:val="32"/>
        </w:rPr>
        <w:t>（六）坚持依法处理，矛盾化解更加高效。</w:t>
      </w:r>
      <w:r>
        <w:rPr>
          <w:b/>
          <w:bCs/>
          <w:kern w:val="2"/>
          <w:sz w:val="32"/>
        </w:rPr>
        <w:t>一是多元化解矛盾纠纷。</w:t>
      </w:r>
      <w:r>
        <w:rPr>
          <w:kern w:val="2"/>
          <w:sz w:val="32"/>
        </w:rPr>
        <w:t>坚持新时代“枫桥经验”，深化镇村两级矛盾纠纷“一站式”多元化解，已建成并实体运行1个区级、6个镇（街道）级、83个村（社区）级矛调中心（工作站），三级矛调中心（工作站）建成率达到100%。强化府院联动机制，联合吴中区法院、虎丘区法院，成立高新区行政争议协同化解工作站。建成2家商会人民调解委员会，10家企业人民调解委员会示范点。今年以来，组织人员调解员排查2530次，排查出纠纷1305件，接待群众21520人，受理纠纷11224件，调解成功率99.91%。</w:t>
      </w:r>
      <w:r>
        <w:rPr>
          <w:b/>
          <w:bCs/>
          <w:kern w:val="2"/>
          <w:sz w:val="32"/>
        </w:rPr>
        <w:t>二是稳步推进行政复议。</w:t>
      </w:r>
      <w:r>
        <w:rPr>
          <w:kern w:val="2"/>
          <w:sz w:val="32"/>
        </w:rPr>
        <w:t>收到行政复议申请83件，结案68件；向市政府作出行政复议答复1件，积极参加应诉，行政机关负责人出庭应诉率达100%。</w:t>
      </w:r>
      <w:r>
        <w:rPr>
          <w:b/>
          <w:bCs/>
          <w:kern w:val="2"/>
          <w:sz w:val="32"/>
        </w:rPr>
        <w:t>三是依法化解信访矛盾。</w:t>
      </w:r>
      <w:r>
        <w:rPr>
          <w:kern w:val="2"/>
          <w:sz w:val="32"/>
        </w:rPr>
        <w:t>开展年度政法（信访）系统专业能力提升培训和全区办信工作培训，举办信访系统业务技能竞赛，组织政法干警进社区活动，提高信访干部业务实践能力。突出信访法治化导向，区委常委会6次研究部署信访稳定工作，切实履行信访工作责任人职责。组建人民建议特邀建议人队伍，打造富有信访工作特色的新型智库。</w:t>
      </w:r>
      <w:r>
        <w:rPr>
          <w:b/>
          <w:bCs/>
          <w:kern w:val="2"/>
          <w:sz w:val="32"/>
        </w:rPr>
        <w:t>四是大力开展普法宣传。</w:t>
      </w:r>
      <w:r>
        <w:rPr>
          <w:kern w:val="2"/>
          <w:sz w:val="32"/>
        </w:rPr>
        <w:t>建设高新区宪法主题公园，做好法治阵地建设，今年新申报4个市级法治文化建设示范点。培养“法律明白人”1288名，全部纳入网格化管理，推动普法与治理融合。围绕民法典宣传月、“12.4”宪法宣传日等时间节点，常态化开展融入式普法宣传。“八五”普法以来，累计进行普法宣传活动1120次，开展法治讲座576次，法律服务629次，发放普法材料共计31万余份。</w:t>
      </w:r>
    </w:p>
    <w:p>
      <w:pPr>
        <w:pStyle w:val="15"/>
        <w:snapToGrid w:val="0"/>
        <w:spacing w:beforeAutospacing="0" w:afterAutospacing="0" w:line="580" w:lineRule="exact"/>
        <w:ind w:firstLine="640" w:firstLineChars="200"/>
        <w:jc w:val="both"/>
        <w:rPr>
          <w:rFonts w:eastAsia="黑体"/>
          <w:kern w:val="2"/>
          <w:sz w:val="32"/>
        </w:rPr>
      </w:pPr>
      <w:r>
        <w:rPr>
          <w:rFonts w:eastAsia="黑体"/>
          <w:kern w:val="2"/>
          <w:sz w:val="32"/>
        </w:rPr>
        <w:t>二、存在不足</w:t>
      </w:r>
    </w:p>
    <w:p>
      <w:pPr>
        <w:pStyle w:val="15"/>
        <w:snapToGrid w:val="0"/>
        <w:spacing w:beforeAutospacing="0" w:afterAutospacing="0" w:line="580" w:lineRule="exact"/>
        <w:ind w:firstLine="640" w:firstLineChars="200"/>
        <w:jc w:val="both"/>
        <w:rPr>
          <w:kern w:val="2"/>
          <w:sz w:val="32"/>
        </w:rPr>
      </w:pPr>
      <w:r>
        <w:rPr>
          <w:kern w:val="2"/>
          <w:sz w:val="32"/>
        </w:rPr>
        <w:t>2023年法治政府建设工作虽然取得了一定成效，但对标先进地区、上级要求和人民期待，仍然存在一些薄弱环节，主要体现在：</w:t>
      </w:r>
      <w:r>
        <w:rPr>
          <w:rFonts w:eastAsia="楷体_GB2312"/>
          <w:bCs/>
          <w:kern w:val="2"/>
          <w:sz w:val="32"/>
        </w:rPr>
        <w:t>一是法治政府建设统筹力度还需进一步加强。</w:t>
      </w:r>
      <w:r>
        <w:rPr>
          <w:kern w:val="2"/>
          <w:sz w:val="32"/>
        </w:rPr>
        <w:t>法治政府建设与具体业务工作的融合度还需要不断提升，部分领导干部运用法治思维、方式破解工作难题的定力还不够、办法还不多。</w:t>
      </w:r>
      <w:r>
        <w:rPr>
          <w:rFonts w:eastAsia="楷体_GB2312"/>
          <w:bCs/>
          <w:kern w:val="2"/>
          <w:sz w:val="32"/>
        </w:rPr>
        <w:t>二是法治化营商环境还需进一步营造。</w:t>
      </w:r>
      <w:r>
        <w:rPr>
          <w:kern w:val="2"/>
          <w:sz w:val="32"/>
        </w:rPr>
        <w:t>通过实施行政合规，持续优化法治化营商环境的举措还不够创新，探索实施更多聚焦市场主体需求的新举措力度还需要加强。</w:t>
      </w:r>
      <w:r>
        <w:rPr>
          <w:rFonts w:eastAsia="楷体_GB2312"/>
          <w:bCs/>
          <w:kern w:val="2"/>
          <w:sz w:val="32"/>
        </w:rPr>
        <w:t>三是基层执法能力还需进一步提升。</w:t>
      </w:r>
      <w:r>
        <w:rPr>
          <w:kern w:val="2"/>
          <w:sz w:val="32"/>
        </w:rPr>
        <w:t>基层执法力量需要进一步配齐配强，法治督察和执法监督力度</w:t>
      </w:r>
      <w:r>
        <w:rPr>
          <w:rFonts w:hint="eastAsia"/>
          <w:kern w:val="2"/>
          <w:sz w:val="32"/>
        </w:rPr>
        <w:t>还需</w:t>
      </w:r>
      <w:r>
        <w:rPr>
          <w:kern w:val="2"/>
          <w:sz w:val="32"/>
        </w:rPr>
        <w:t>不断加强，执法规范化、合理化、精细化水平有待进一步提高。</w:t>
      </w:r>
    </w:p>
    <w:p>
      <w:pPr>
        <w:pStyle w:val="15"/>
        <w:snapToGrid w:val="0"/>
        <w:spacing w:beforeAutospacing="0" w:afterAutospacing="0" w:line="580" w:lineRule="exact"/>
        <w:ind w:firstLine="640" w:firstLineChars="200"/>
        <w:jc w:val="both"/>
        <w:rPr>
          <w:rFonts w:eastAsia="黑体"/>
          <w:kern w:val="2"/>
          <w:sz w:val="32"/>
        </w:rPr>
      </w:pPr>
      <w:r>
        <w:rPr>
          <w:rFonts w:eastAsia="黑体"/>
          <w:kern w:val="2"/>
          <w:sz w:val="32"/>
        </w:rPr>
        <w:t>三、2024年主要工作安排</w:t>
      </w:r>
    </w:p>
    <w:p>
      <w:pPr>
        <w:pStyle w:val="15"/>
        <w:snapToGrid w:val="0"/>
        <w:spacing w:beforeAutospacing="0" w:afterAutospacing="0" w:line="580" w:lineRule="exact"/>
        <w:ind w:firstLine="640" w:firstLineChars="200"/>
        <w:jc w:val="both"/>
        <w:rPr>
          <w:kern w:val="2"/>
          <w:sz w:val="32"/>
        </w:rPr>
      </w:pPr>
      <w:r>
        <w:rPr>
          <w:kern w:val="2"/>
          <w:sz w:val="32"/>
        </w:rPr>
        <w:t>2024年，苏州高新区（虎丘区）将全面贯彻党的二十大对全面依法治国工作的战略部署，深入践行习近平法治思想，对照上级要求，不断推动我区法治政府建设迈上新台阶。</w:t>
      </w:r>
    </w:p>
    <w:p>
      <w:pPr>
        <w:pStyle w:val="15"/>
        <w:snapToGrid w:val="0"/>
        <w:spacing w:beforeAutospacing="0" w:afterAutospacing="0" w:line="580" w:lineRule="exact"/>
        <w:ind w:firstLine="640" w:firstLineChars="200"/>
        <w:jc w:val="both"/>
        <w:rPr>
          <w:kern w:val="2"/>
          <w:sz w:val="32"/>
        </w:rPr>
      </w:pPr>
      <w:r>
        <w:rPr>
          <w:rFonts w:eastAsia="楷体_GB2312"/>
          <w:bCs/>
          <w:kern w:val="2"/>
          <w:sz w:val="32"/>
        </w:rPr>
        <w:t>（一）一体化</w:t>
      </w:r>
      <w:r>
        <w:rPr>
          <w:rFonts w:hint="eastAsia" w:eastAsia="楷体_GB2312"/>
          <w:bCs/>
          <w:kern w:val="2"/>
          <w:sz w:val="32"/>
        </w:rPr>
        <w:t>统筹</w:t>
      </w:r>
      <w:r>
        <w:rPr>
          <w:rFonts w:eastAsia="楷体_GB2312"/>
          <w:bCs/>
          <w:kern w:val="2"/>
          <w:sz w:val="32"/>
        </w:rPr>
        <w:t>法治政府建设。</w:t>
      </w:r>
      <w:r>
        <w:rPr>
          <w:kern w:val="2"/>
          <w:sz w:val="32"/>
        </w:rPr>
        <w:t>结合主题教育，将习近平法治思想作为全区各部门重点学习内容，作为法治政府建设的根本遵循，推动习近平法治思想更加深入人心。认真实施</w:t>
      </w:r>
      <w:r>
        <w:rPr>
          <w:rFonts w:hint="eastAsia"/>
          <w:kern w:val="2"/>
          <w:sz w:val="32"/>
        </w:rPr>
        <w:t xml:space="preserve"> “一规划、两方案”</w:t>
      </w:r>
      <w:r>
        <w:rPr>
          <w:kern w:val="2"/>
          <w:sz w:val="32"/>
        </w:rPr>
        <w:t>，统筹推进法治高新区、法治政府、法治社会“一体建设”，进一步加强组织领导、协调指导、督办督察，确保法治政府建设各项任务落实到位。</w:t>
      </w:r>
    </w:p>
    <w:p>
      <w:pPr>
        <w:pStyle w:val="15"/>
        <w:snapToGrid w:val="0"/>
        <w:spacing w:beforeAutospacing="0" w:afterAutospacing="0" w:line="580" w:lineRule="exact"/>
        <w:ind w:firstLine="640" w:firstLineChars="200"/>
        <w:jc w:val="both"/>
        <w:rPr>
          <w:kern w:val="2"/>
          <w:sz w:val="32"/>
        </w:rPr>
      </w:pPr>
      <w:r>
        <w:rPr>
          <w:rFonts w:eastAsia="楷体_GB2312"/>
          <w:bCs/>
          <w:kern w:val="2"/>
          <w:sz w:val="32"/>
        </w:rPr>
        <w:t>（二）高标准</w:t>
      </w:r>
      <w:r>
        <w:rPr>
          <w:rFonts w:hint="eastAsia" w:eastAsia="楷体_GB2312"/>
          <w:bCs/>
          <w:kern w:val="2"/>
          <w:sz w:val="32"/>
        </w:rPr>
        <w:t>实施</w:t>
      </w:r>
      <w:r>
        <w:rPr>
          <w:rFonts w:eastAsia="楷体_GB2312"/>
          <w:bCs/>
          <w:kern w:val="2"/>
          <w:sz w:val="32"/>
        </w:rPr>
        <w:t>法治政府建设。</w:t>
      </w:r>
      <w:r>
        <w:rPr>
          <w:kern w:val="2"/>
          <w:sz w:val="32"/>
        </w:rPr>
        <w:t>围绕全面依法治区工作总体要求，切实找准法治政府建设服务大局的切入点</w:t>
      </w:r>
      <w:r>
        <w:rPr>
          <w:rFonts w:hint="eastAsia"/>
          <w:kern w:val="2"/>
          <w:sz w:val="32"/>
        </w:rPr>
        <w:t>、</w:t>
      </w:r>
      <w:r>
        <w:rPr>
          <w:kern w:val="2"/>
          <w:sz w:val="32"/>
        </w:rPr>
        <w:t>着力点</w:t>
      </w:r>
      <w:r>
        <w:rPr>
          <w:rFonts w:hint="eastAsia"/>
          <w:kern w:val="2"/>
          <w:sz w:val="32"/>
        </w:rPr>
        <w:t>、落脚点</w:t>
      </w:r>
      <w:r>
        <w:rPr>
          <w:kern w:val="2"/>
          <w:sz w:val="32"/>
        </w:rPr>
        <w:t>，对标对表先进地区经验做法，立足经济社会发展实际和自身优势特色，努力打造法治政府建设 “高新样板”。</w:t>
      </w:r>
    </w:p>
    <w:p>
      <w:pPr>
        <w:pStyle w:val="15"/>
        <w:snapToGrid w:val="0"/>
        <w:spacing w:beforeAutospacing="0" w:afterAutospacing="0" w:line="580" w:lineRule="exact"/>
        <w:ind w:firstLine="640" w:firstLineChars="200"/>
        <w:jc w:val="both"/>
        <w:rPr>
          <w:kern w:val="2"/>
          <w:sz w:val="32"/>
        </w:rPr>
      </w:pPr>
      <w:r>
        <w:rPr>
          <w:rFonts w:eastAsia="楷体_GB2312"/>
          <w:bCs/>
          <w:kern w:val="2"/>
          <w:sz w:val="32"/>
        </w:rPr>
        <w:t>（三）全方位推进法治政府建设。</w:t>
      </w:r>
      <w:r>
        <w:rPr>
          <w:kern w:val="2"/>
          <w:sz w:val="32"/>
        </w:rPr>
        <w:t>认真制定高新区法治政府建设年度工作要点和各项督察计划，突出重点、精准发力，持续深化“放管服”改革，</w:t>
      </w:r>
      <w:r>
        <w:rPr>
          <w:rFonts w:hint="eastAsia"/>
          <w:kern w:val="2"/>
          <w:sz w:val="32"/>
        </w:rPr>
        <w:t>聚焦生态环境、交通运输、市场监管、税务等重点领域开展行政合规指导工作，</w:t>
      </w:r>
      <w:r>
        <w:rPr>
          <w:kern w:val="2"/>
          <w:sz w:val="32"/>
        </w:rPr>
        <w:t>全面提高决策法治化水平，严格规范公正文明执法，</w:t>
      </w:r>
      <w:r>
        <w:rPr>
          <w:rFonts w:hint="eastAsia"/>
          <w:kern w:val="2"/>
          <w:sz w:val="32"/>
        </w:rPr>
        <w:t>多措并举实质性化解行政争议</w:t>
      </w:r>
      <w:r>
        <w:rPr>
          <w:kern w:val="2"/>
          <w:sz w:val="32"/>
        </w:rPr>
        <w:t>，强化行政权力监督制约，</w:t>
      </w:r>
      <w:r>
        <w:rPr>
          <w:rFonts w:hint="eastAsia"/>
          <w:kern w:val="2"/>
          <w:sz w:val="32"/>
        </w:rPr>
        <w:t>深度推进行政诉讼发案量和败诉率“双下降”，</w:t>
      </w:r>
      <w:r>
        <w:rPr>
          <w:kern w:val="2"/>
          <w:sz w:val="32"/>
        </w:rPr>
        <w:t>不断开创法治政府建设新局面。</w:t>
      </w:r>
    </w:p>
    <w:p>
      <w:pPr>
        <w:pStyle w:val="15"/>
        <w:snapToGrid w:val="0"/>
        <w:spacing w:beforeAutospacing="0" w:afterAutospacing="0" w:line="580" w:lineRule="exact"/>
        <w:ind w:firstLine="640" w:firstLineChars="200"/>
        <w:jc w:val="both"/>
        <w:rPr>
          <w:kern w:val="2"/>
          <w:sz w:val="32"/>
        </w:rPr>
      </w:pPr>
      <w:r>
        <w:rPr>
          <w:rFonts w:eastAsia="楷体_GB2312"/>
          <w:bCs/>
          <w:kern w:val="2"/>
          <w:sz w:val="32"/>
        </w:rPr>
        <w:t>（四）“一盘棋”</w:t>
      </w:r>
      <w:r>
        <w:rPr>
          <w:rFonts w:hint="eastAsia" w:eastAsia="楷体_GB2312"/>
          <w:bCs/>
          <w:kern w:val="2"/>
          <w:sz w:val="32"/>
        </w:rPr>
        <w:t>谋划</w:t>
      </w:r>
      <w:r>
        <w:rPr>
          <w:rFonts w:eastAsia="楷体_GB2312"/>
          <w:bCs/>
          <w:kern w:val="2"/>
          <w:sz w:val="32"/>
        </w:rPr>
        <w:t>法治政府建设。</w:t>
      </w:r>
      <w:r>
        <w:rPr>
          <w:rFonts w:hint="eastAsia"/>
          <w:kern w:val="2"/>
          <w:sz w:val="32"/>
        </w:rPr>
        <w:t>坚持</w:t>
      </w:r>
      <w:r>
        <w:rPr>
          <w:kern w:val="2"/>
          <w:sz w:val="32"/>
        </w:rPr>
        <w:t>区、镇（街道）两级法治政府建设协调并进，压实工作责任，加强协调配合，在夯实基层法治工作基础、提高基层依法治理能力上下更大功夫，为推动</w:t>
      </w:r>
      <w:r>
        <w:rPr>
          <w:rFonts w:hint="eastAsia"/>
          <w:kern w:val="2"/>
          <w:sz w:val="32"/>
        </w:rPr>
        <w:t>苏州高新区</w:t>
      </w:r>
      <w:r>
        <w:rPr>
          <w:kern w:val="2"/>
          <w:sz w:val="32"/>
        </w:rPr>
        <w:t>高质量发展提供坚强法治保障。</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小标宋">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491102818"/>
      <w:docPartObj>
        <w:docPartGallery w:val="autotext"/>
      </w:docPartObj>
    </w:sdtPr>
    <w:sdtEndPr>
      <w:rPr>
        <w:rFonts w:ascii="Times New Roman" w:hAnsi="Times New Roman" w:cs="Times New Roman"/>
        <w:sz w:val="24"/>
        <w:szCs w:val="24"/>
      </w:rPr>
    </w:sdtEndPr>
    <w:sdtContent>
      <w:p>
        <w:pPr>
          <w:pStyle w:val="12"/>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cxNjQ1OTEwNzVkODFmMzlmNGVjZDAwNjFhNjQwMTAifQ=="/>
  </w:docVars>
  <w:rsids>
    <w:rsidRoot w:val="001566A0"/>
    <w:rsid w:val="00001EEC"/>
    <w:rsid w:val="000D0002"/>
    <w:rsid w:val="000E4985"/>
    <w:rsid w:val="00136D9E"/>
    <w:rsid w:val="001419EF"/>
    <w:rsid w:val="00145110"/>
    <w:rsid w:val="001566A0"/>
    <w:rsid w:val="00197CF8"/>
    <w:rsid w:val="001A0DA1"/>
    <w:rsid w:val="001C7B0D"/>
    <w:rsid w:val="00241846"/>
    <w:rsid w:val="00267EB5"/>
    <w:rsid w:val="00290B50"/>
    <w:rsid w:val="003050F4"/>
    <w:rsid w:val="003655FC"/>
    <w:rsid w:val="003B76F4"/>
    <w:rsid w:val="003E0EFB"/>
    <w:rsid w:val="00444C10"/>
    <w:rsid w:val="00463A2B"/>
    <w:rsid w:val="0047165F"/>
    <w:rsid w:val="004A2E4B"/>
    <w:rsid w:val="004C67FD"/>
    <w:rsid w:val="004D023E"/>
    <w:rsid w:val="004F0E71"/>
    <w:rsid w:val="00505C13"/>
    <w:rsid w:val="005160D5"/>
    <w:rsid w:val="005344BC"/>
    <w:rsid w:val="005610C9"/>
    <w:rsid w:val="00587E94"/>
    <w:rsid w:val="005911A5"/>
    <w:rsid w:val="005A6877"/>
    <w:rsid w:val="005B699D"/>
    <w:rsid w:val="005C3521"/>
    <w:rsid w:val="005D2878"/>
    <w:rsid w:val="006104FC"/>
    <w:rsid w:val="006225BD"/>
    <w:rsid w:val="00661C36"/>
    <w:rsid w:val="006A03B9"/>
    <w:rsid w:val="006A0EF9"/>
    <w:rsid w:val="006B45F3"/>
    <w:rsid w:val="006C27CE"/>
    <w:rsid w:val="00704248"/>
    <w:rsid w:val="007900A7"/>
    <w:rsid w:val="00795BEB"/>
    <w:rsid w:val="007D1882"/>
    <w:rsid w:val="00817646"/>
    <w:rsid w:val="008349FD"/>
    <w:rsid w:val="00864D85"/>
    <w:rsid w:val="008769E5"/>
    <w:rsid w:val="0088627B"/>
    <w:rsid w:val="008C03B3"/>
    <w:rsid w:val="008C3EB3"/>
    <w:rsid w:val="00913573"/>
    <w:rsid w:val="0092604F"/>
    <w:rsid w:val="00934573"/>
    <w:rsid w:val="00945712"/>
    <w:rsid w:val="0096495B"/>
    <w:rsid w:val="0098469B"/>
    <w:rsid w:val="009F112E"/>
    <w:rsid w:val="00A07F1C"/>
    <w:rsid w:val="00A21439"/>
    <w:rsid w:val="00A37ED2"/>
    <w:rsid w:val="00A41E24"/>
    <w:rsid w:val="00A67D20"/>
    <w:rsid w:val="00A90027"/>
    <w:rsid w:val="00AA7F6C"/>
    <w:rsid w:val="00AB38AD"/>
    <w:rsid w:val="00AB3C9A"/>
    <w:rsid w:val="00AC1A8E"/>
    <w:rsid w:val="00AD41FF"/>
    <w:rsid w:val="00B20E3C"/>
    <w:rsid w:val="00B3390F"/>
    <w:rsid w:val="00B33ADA"/>
    <w:rsid w:val="00B52348"/>
    <w:rsid w:val="00B73165"/>
    <w:rsid w:val="00B83AC6"/>
    <w:rsid w:val="00C10486"/>
    <w:rsid w:val="00CD4F45"/>
    <w:rsid w:val="00CE3F9C"/>
    <w:rsid w:val="00D76840"/>
    <w:rsid w:val="00D91822"/>
    <w:rsid w:val="00DC6E06"/>
    <w:rsid w:val="00DF3CD7"/>
    <w:rsid w:val="00DF5C66"/>
    <w:rsid w:val="00E375E0"/>
    <w:rsid w:val="00E44930"/>
    <w:rsid w:val="00E66EF7"/>
    <w:rsid w:val="00E967E7"/>
    <w:rsid w:val="00EF08A4"/>
    <w:rsid w:val="00F2162A"/>
    <w:rsid w:val="00F240BD"/>
    <w:rsid w:val="00F46D9A"/>
    <w:rsid w:val="00F62F87"/>
    <w:rsid w:val="00F66CD7"/>
    <w:rsid w:val="00F954FF"/>
    <w:rsid w:val="00FE7947"/>
    <w:rsid w:val="0CED112E"/>
    <w:rsid w:val="5BCE6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9"/>
    <w:qFormat/>
    <w:uiPriority w:val="0"/>
    <w:pPr>
      <w:ind w:right="214"/>
    </w:pPr>
    <w:rPr>
      <w:rFonts w:ascii="仿宋_GB2312" w:hAnsi="Times New Roman" w:eastAsia="仿宋_GB2312" w:cs="Times New Roman"/>
      <w:sz w:val="32"/>
      <w:szCs w:val="32"/>
    </w:r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pPr>
      <w:spacing w:beforeAutospacing="1" w:afterAutospacing="1"/>
      <w:jc w:val="left"/>
    </w:pPr>
    <w:rPr>
      <w:rFonts w:ascii="Times New Roman" w:hAnsi="Times New Roman" w:eastAsia="仿宋_GB2312" w:cs="Times New Roman"/>
      <w:kern w:val="0"/>
      <w:sz w:val="24"/>
      <w:szCs w:val="32"/>
    </w:rPr>
  </w:style>
  <w:style w:type="paragraph" w:styleId="16">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szCs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明显参考1"/>
    <w:basedOn w:val="18"/>
    <w:qFormat/>
    <w:uiPriority w:val="32"/>
    <w:rPr>
      <w:b/>
      <w:bCs/>
      <w:smallCaps/>
      <w:color w:val="104862"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 w:type="character" w:customStyle="1" w:styleId="39">
    <w:name w:val="正文文本 字符"/>
    <w:basedOn w:val="18"/>
    <w:link w:val="11"/>
    <w:qFormat/>
    <w:uiPriority w:val="0"/>
    <w:rPr>
      <w:rFonts w:ascii="仿宋_GB2312" w:hAnsi="Times New Roman" w:eastAsia="仿宋_GB2312" w:cs="Times New Roman"/>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8A1EB-A47A-43D2-B8B9-DB7F2DC00D04}">
  <ds:schemaRefs/>
</ds:datastoreItem>
</file>

<file path=docProps/app.xml><?xml version="1.0" encoding="utf-8"?>
<Properties xmlns="http://schemas.openxmlformats.org/officeDocument/2006/extended-properties" xmlns:vt="http://schemas.openxmlformats.org/officeDocument/2006/docPropsVTypes">
  <Template>Normal.dotm</Template>
  <Pages>1</Pages>
  <Words>664</Words>
  <Characters>3786</Characters>
  <Lines>31</Lines>
  <Paragraphs>8</Paragraphs>
  <TotalTime>115</TotalTime>
  <ScaleCrop>false</ScaleCrop>
  <LinksUpToDate>false</LinksUpToDate>
  <CharactersWithSpaces>4442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2023-11-20T09:19:00Z</dcterms:created>
  <dc:creator>礼慧 张</dc:creator>
  <cp:lastModifiedBy>沉浮</cp:lastModifiedBy>
  <dcterms:modified xsi:type="dcterms:W3CDTF">2023-12-07T08:31:46Z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A3F8A669F8EC4AAAB2CB36D43D5DA2CF_12</vt:lpwstr>
  </property>
</Properties>
</file>