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exact"/>
        <w:ind w:right="17"/>
        <w:rPr>
          <w:color w:val="000000"/>
          <w:sz w:val="30"/>
          <w:szCs w:val="30"/>
        </w:rPr>
      </w:pPr>
      <w:bookmarkStart w:id="0" w:name="_GoBack"/>
      <w:bookmarkEnd w:id="0"/>
    </w:p>
    <w:p>
      <w:pPr>
        <w:spacing w:line="240" w:lineRule="exact"/>
        <w:ind w:right="17"/>
        <w:rPr>
          <w:color w:val="000000"/>
          <w:sz w:val="30"/>
          <w:szCs w:val="30"/>
        </w:rPr>
      </w:pPr>
    </w:p>
    <w:p>
      <w:pPr>
        <w:spacing w:line="240" w:lineRule="exact"/>
        <w:ind w:right="17"/>
        <w:rPr>
          <w:color w:val="000000"/>
          <w:sz w:val="30"/>
          <w:szCs w:val="30"/>
        </w:rPr>
      </w:pPr>
    </w:p>
    <w:p>
      <w:pPr>
        <w:spacing w:line="320" w:lineRule="exact"/>
        <w:rPr>
          <w:rFonts w:eastAsia="黑体"/>
          <w:color w:val="000000"/>
          <w:sz w:val="28"/>
          <w:szCs w:val="28"/>
        </w:rPr>
      </w:pPr>
    </w:p>
    <w:p>
      <w:pPr>
        <w:spacing w:line="320" w:lineRule="exact"/>
        <w:rPr>
          <w:rFonts w:eastAsia="黑体"/>
          <w:color w:val="000000"/>
          <w:sz w:val="28"/>
          <w:szCs w:val="28"/>
        </w:rPr>
      </w:pPr>
    </w:p>
    <w:p>
      <w:pPr>
        <w:spacing w:line="320" w:lineRule="exact"/>
        <w:rPr>
          <w:rFonts w:eastAsia="黑体"/>
          <w:color w:val="000000"/>
          <w:sz w:val="28"/>
          <w:szCs w:val="28"/>
        </w:rPr>
      </w:pPr>
    </w:p>
    <w:tbl>
      <w:tblPr>
        <w:tblStyle w:val="4"/>
        <w:tblpPr w:leftFromText="180" w:rightFromText="180" w:vertAnchor="text" w:horzAnchor="margin" w:tblpY="1"/>
        <w:tblW w:w="9214" w:type="dxa"/>
        <w:tblInd w:w="0" w:type="dxa"/>
        <w:tblLayout w:type="fixed"/>
        <w:tblCellMar>
          <w:top w:w="0" w:type="dxa"/>
          <w:left w:w="28" w:type="dxa"/>
          <w:bottom w:w="0" w:type="dxa"/>
          <w:right w:w="28" w:type="dxa"/>
        </w:tblCellMar>
      </w:tblPr>
      <w:tblGrid>
        <w:gridCol w:w="9214"/>
      </w:tblGrid>
      <w:tr>
        <w:tblPrEx>
          <w:tblCellMar>
            <w:top w:w="0" w:type="dxa"/>
            <w:left w:w="28" w:type="dxa"/>
            <w:bottom w:w="0" w:type="dxa"/>
            <w:right w:w="28" w:type="dxa"/>
          </w:tblCellMar>
        </w:tblPrEx>
        <w:trPr>
          <w:trHeight w:val="1290" w:hRule="atLeast"/>
        </w:trPr>
        <w:tc>
          <w:tcPr>
            <w:tcW w:w="9214" w:type="dxa"/>
            <w:vAlign w:val="center"/>
          </w:tcPr>
          <w:p>
            <w:pPr>
              <w:widowControl/>
              <w:jc w:val="left"/>
              <w:rPr>
                <w:rFonts w:eastAsia="小标宋"/>
                <w:bCs/>
                <w:color w:val="FF0000"/>
                <w:spacing w:val="-10"/>
                <w:w w:val="70"/>
                <w:sz w:val="80"/>
                <w:szCs w:val="80"/>
              </w:rPr>
            </w:pPr>
            <w:r>
              <w:rPr>
                <w:rFonts w:eastAsia="小标宋"/>
                <w:color w:val="FF0000"/>
                <w:spacing w:val="-10"/>
                <w:w w:val="70"/>
                <w:sz w:val="80"/>
                <w:szCs w:val="80"/>
              </w:rPr>
              <w:t>苏州高新区（虎丘区）党政办公室文件</w:t>
            </w:r>
          </w:p>
        </w:tc>
      </w:tr>
    </w:tbl>
    <w:p>
      <w:pPr>
        <w:spacing w:line="400" w:lineRule="exact"/>
      </w:pPr>
    </w:p>
    <w:p>
      <w:pPr>
        <w:spacing w:line="400" w:lineRule="exact"/>
      </w:pPr>
    </w:p>
    <w:p>
      <w:pPr>
        <w:adjustRightInd w:val="0"/>
        <w:snapToGrid w:val="0"/>
        <w:jc w:val="center"/>
        <w:rPr>
          <w:rFonts w:eastAsia="仿宋_GB2312"/>
          <w:b/>
          <w:bCs/>
          <w:color w:val="FF0000"/>
          <w:szCs w:val="21"/>
        </w:rPr>
      </w:pPr>
      <w:r>
        <w:rPr>
          <w:rFonts w:eastAsia="仿宋_GB2312"/>
          <w:sz w:val="32"/>
          <w:szCs w:val="32"/>
        </w:rPr>
        <w:t>苏高新办〔2024〕</w:t>
      </w:r>
      <w:r>
        <w:rPr>
          <w:rFonts w:hint="eastAsia" w:eastAsia="仿宋_GB2312"/>
          <w:sz w:val="32"/>
          <w:szCs w:val="32"/>
        </w:rPr>
        <w:t>35</w:t>
      </w:r>
      <w:r>
        <w:rPr>
          <w:rFonts w:eastAsia="仿宋_GB2312"/>
          <w:sz w:val="32"/>
          <w:szCs w:val="32"/>
        </w:rPr>
        <w:t>号</w:t>
      </w:r>
    </w:p>
    <w:p>
      <w:pPr>
        <w:snapToGrid w:val="0"/>
        <w:spacing w:line="192" w:lineRule="auto"/>
        <w:ind w:right="-210" w:rightChars="-100"/>
        <w:jc w:val="left"/>
        <w:rPr>
          <w:rFonts w:eastAsia="仿宋_GB2312"/>
          <w:b/>
          <w:bCs/>
          <w:color w:val="FF0000"/>
          <w:sz w:val="30"/>
          <w:szCs w:val="30"/>
        </w:rPr>
      </w:pPr>
      <w:r>
        <w:rPr>
          <w:color w:val="FF0000"/>
          <w:sz w:val="30"/>
          <w:szCs w:val="30"/>
        </w:rPr>
        <w:t>━━━━━━━━━━━━━━━━━━━━━━━━━━━━━━</w:t>
      </w:r>
    </w:p>
    <w:p>
      <w:pPr>
        <w:spacing w:line="400" w:lineRule="exact"/>
      </w:pPr>
    </w:p>
    <w:p>
      <w:pPr>
        <w:spacing w:line="320" w:lineRule="exact"/>
      </w:pPr>
    </w:p>
    <w:p>
      <w:pPr>
        <w:adjustRightInd w:val="0"/>
        <w:snapToGrid w:val="0"/>
        <w:jc w:val="center"/>
        <w:rPr>
          <w:rFonts w:eastAsia="方正小标宋_GBK"/>
          <w:sz w:val="44"/>
          <w:szCs w:val="44"/>
        </w:rPr>
      </w:pPr>
      <w:r>
        <w:rPr>
          <w:rFonts w:eastAsia="方正小标宋_GBK"/>
          <w:sz w:val="44"/>
          <w:szCs w:val="44"/>
        </w:rPr>
        <w:t>区党政办关于印发苏州高新区（虎丘区）</w:t>
      </w:r>
    </w:p>
    <w:p>
      <w:pPr>
        <w:adjustRightInd w:val="0"/>
        <w:snapToGrid w:val="0"/>
        <w:jc w:val="center"/>
        <w:rPr>
          <w:rFonts w:eastAsia="方正小标宋_GBK"/>
          <w:sz w:val="44"/>
          <w:szCs w:val="44"/>
        </w:rPr>
      </w:pPr>
      <w:r>
        <w:rPr>
          <w:rFonts w:eastAsia="方正小标宋_GBK"/>
          <w:sz w:val="44"/>
          <w:szCs w:val="44"/>
        </w:rPr>
        <w:t>2024年度行政执法监督工作计划的通知</w:t>
      </w:r>
    </w:p>
    <w:p/>
    <w:p>
      <w:pPr>
        <w:spacing w:line="560" w:lineRule="exact"/>
        <w:rPr>
          <w:rFonts w:ascii="仿宋_GB2312" w:eastAsia="仿宋_GB2312"/>
          <w:color w:val="000000"/>
          <w:spacing w:val="-4"/>
          <w:sz w:val="32"/>
          <w:szCs w:val="32"/>
        </w:rPr>
      </w:pPr>
      <w:r>
        <w:rPr>
          <w:rFonts w:hint="eastAsia" w:ascii="仿宋_GB2312" w:eastAsia="仿宋_GB2312"/>
          <w:color w:val="000000"/>
          <w:spacing w:val="-4"/>
          <w:sz w:val="32"/>
          <w:szCs w:val="32"/>
        </w:rPr>
        <w:t>苏州浒墅关经济技术开发区、苏州科技城管理委员会，综保区、度假区、狮山商务创新区管理办公室，各镇（街道）人民政府（办事处），各部委室局，各公司，各有关单位：</w:t>
      </w:r>
    </w:p>
    <w:p>
      <w:pPr>
        <w:spacing w:line="560" w:lineRule="exact"/>
        <w:ind w:firstLine="624" w:firstLineChars="200"/>
        <w:rPr>
          <w:rFonts w:eastAsia="仿宋"/>
          <w:spacing w:val="-4"/>
          <w:sz w:val="32"/>
        </w:rPr>
      </w:pPr>
      <w:r>
        <w:rPr>
          <w:rFonts w:eastAsia="仿宋"/>
          <w:spacing w:val="-4"/>
          <w:sz w:val="32"/>
        </w:rPr>
        <w:t>为全面贯彻党的二十大精神，深入贯彻习近平法治思想，认真落实中央、省、市决策部署，持续规范行政执法行为，促进行政执法严格规范公正文明，提高行政执法行为的社会满意度，依据《法治政府建设实施纲要（2021～2025年）》《关于进一步加强市县法治建设的意见》《提升行政执法质量三年行动计划（2023～2025 年）》《江苏省行政执法监督办法》等文件要求，特制定苏州高新区（虎丘区）</w:t>
      </w:r>
      <w:r>
        <w:rPr>
          <w:rFonts w:eastAsia="仿宋_GB2312"/>
          <w:spacing w:val="-4"/>
          <w:sz w:val="32"/>
        </w:rPr>
        <w:t>2024</w:t>
      </w:r>
      <w:r>
        <w:rPr>
          <w:rFonts w:eastAsia="仿宋"/>
          <w:spacing w:val="-4"/>
          <w:sz w:val="32"/>
        </w:rPr>
        <w:t>年度行政执法监督工作计划。</w:t>
      </w:r>
    </w:p>
    <w:p>
      <w:pPr>
        <w:spacing w:line="560" w:lineRule="exact"/>
        <w:ind w:firstLine="624" w:firstLineChars="200"/>
        <w:rPr>
          <w:rFonts w:eastAsia="黑体"/>
          <w:spacing w:val="-4"/>
          <w:sz w:val="32"/>
        </w:rPr>
      </w:pPr>
      <w:r>
        <w:rPr>
          <w:rFonts w:eastAsia="黑体"/>
          <w:spacing w:val="-4"/>
          <w:sz w:val="32"/>
        </w:rPr>
        <w:t>一、行政执法监督工作重点内容</w:t>
      </w:r>
    </w:p>
    <w:p>
      <w:pPr>
        <w:spacing w:line="560" w:lineRule="exact"/>
        <w:ind w:firstLine="624" w:firstLineChars="200"/>
        <w:rPr>
          <w:rFonts w:eastAsia="仿宋_GB2312"/>
          <w:spacing w:val="-4"/>
          <w:sz w:val="32"/>
        </w:rPr>
      </w:pPr>
      <w:r>
        <w:rPr>
          <w:rFonts w:eastAsia="仿宋_GB2312"/>
          <w:spacing w:val="-4"/>
          <w:sz w:val="32"/>
        </w:rPr>
        <w:t>（一）检查各镇（街道）和各区级行政执法部门全面落实行政执法责任制情况；</w:t>
      </w:r>
    </w:p>
    <w:p>
      <w:pPr>
        <w:spacing w:line="560" w:lineRule="exact"/>
        <w:ind w:firstLine="624" w:firstLineChars="200"/>
        <w:rPr>
          <w:rFonts w:eastAsia="仿宋_GB2312"/>
          <w:spacing w:val="-4"/>
          <w:sz w:val="32"/>
        </w:rPr>
      </w:pPr>
      <w:r>
        <w:rPr>
          <w:rFonts w:eastAsia="仿宋_GB2312"/>
          <w:spacing w:val="-4"/>
          <w:sz w:val="32"/>
        </w:rPr>
        <w:t>（二）检查各镇（街道）综合行政执法规范化建设情况；</w:t>
      </w:r>
    </w:p>
    <w:p>
      <w:pPr>
        <w:spacing w:line="560" w:lineRule="exact"/>
        <w:ind w:firstLine="624" w:firstLineChars="200"/>
        <w:rPr>
          <w:rFonts w:eastAsia="仿宋_GB2312"/>
          <w:spacing w:val="-4"/>
          <w:sz w:val="32"/>
        </w:rPr>
      </w:pPr>
      <w:r>
        <w:rPr>
          <w:rFonts w:eastAsia="仿宋_GB2312"/>
          <w:spacing w:val="-4"/>
          <w:sz w:val="32"/>
        </w:rPr>
        <w:t>（三）检查各镇（街道）和各区级行政执法部门开展提升行政执法质量三年行动和行政执法突出问题专项整治情况；</w:t>
      </w:r>
    </w:p>
    <w:p>
      <w:pPr>
        <w:spacing w:line="560" w:lineRule="exact"/>
        <w:ind w:firstLine="624" w:firstLineChars="200"/>
        <w:rPr>
          <w:rFonts w:eastAsia="仿宋_GB2312"/>
          <w:spacing w:val="-4"/>
          <w:sz w:val="32"/>
        </w:rPr>
      </w:pPr>
      <w:r>
        <w:rPr>
          <w:rFonts w:eastAsia="仿宋_GB2312"/>
          <w:spacing w:val="-4"/>
          <w:sz w:val="32"/>
        </w:rPr>
        <w:t>（四）检查各镇（街道）和各区级行政执法部门行政执法人员及执法辅助人员教育培训管理情况；</w:t>
      </w:r>
    </w:p>
    <w:p>
      <w:pPr>
        <w:spacing w:line="560" w:lineRule="exact"/>
        <w:ind w:firstLine="624" w:firstLineChars="200"/>
        <w:rPr>
          <w:rFonts w:eastAsia="仿宋_GB2312"/>
          <w:spacing w:val="-4"/>
          <w:sz w:val="32"/>
        </w:rPr>
      </w:pPr>
      <w:r>
        <w:rPr>
          <w:rFonts w:eastAsia="仿宋_GB2312"/>
          <w:spacing w:val="-4"/>
          <w:sz w:val="32"/>
        </w:rPr>
        <w:t>（五）检查各镇（街道）和各区级行政执法部门行政执法公示制度、执法全过程记录制度、重大执法决定法制审核制度落实情况；</w:t>
      </w:r>
    </w:p>
    <w:p>
      <w:pPr>
        <w:spacing w:line="560" w:lineRule="exact"/>
        <w:ind w:firstLine="624" w:firstLineChars="200"/>
        <w:rPr>
          <w:rFonts w:eastAsia="仿宋_GB2312"/>
          <w:spacing w:val="-4"/>
          <w:sz w:val="32"/>
        </w:rPr>
      </w:pPr>
      <w:r>
        <w:rPr>
          <w:rFonts w:eastAsia="仿宋_GB2312"/>
          <w:spacing w:val="-4"/>
          <w:sz w:val="32"/>
        </w:rPr>
        <w:t>（六）检查各镇（街道）和各区级行政执法部门统筹推进行政裁量权基准制定和管理工作情况；</w:t>
      </w:r>
    </w:p>
    <w:p>
      <w:pPr>
        <w:spacing w:line="560" w:lineRule="exact"/>
        <w:ind w:firstLine="624" w:firstLineChars="200"/>
        <w:rPr>
          <w:rFonts w:eastAsia="仿宋_GB2312"/>
          <w:spacing w:val="-4"/>
          <w:sz w:val="32"/>
        </w:rPr>
      </w:pPr>
      <w:r>
        <w:rPr>
          <w:rFonts w:eastAsia="仿宋_GB2312"/>
          <w:spacing w:val="-4"/>
          <w:sz w:val="32"/>
        </w:rPr>
        <w:t>（七）检查各镇（街道）和各区级行政执法部门全面推行证明事项告知承诺制情况；</w:t>
      </w:r>
    </w:p>
    <w:p>
      <w:pPr>
        <w:spacing w:line="560" w:lineRule="exact"/>
        <w:ind w:firstLine="624" w:firstLineChars="200"/>
        <w:rPr>
          <w:rFonts w:eastAsia="仿宋_GB2312"/>
          <w:spacing w:val="-4"/>
          <w:sz w:val="32"/>
        </w:rPr>
      </w:pPr>
      <w:r>
        <w:rPr>
          <w:rFonts w:eastAsia="仿宋_GB2312"/>
          <w:spacing w:val="-4"/>
          <w:sz w:val="32"/>
        </w:rPr>
        <w:t>（八）检查各镇（街道）和各区级行政执法部门推进落实涉企“免罚轻罚”清单情况；</w:t>
      </w:r>
    </w:p>
    <w:p>
      <w:pPr>
        <w:spacing w:line="560" w:lineRule="exact"/>
        <w:ind w:firstLine="624" w:firstLineChars="200"/>
        <w:rPr>
          <w:rFonts w:eastAsia="仿宋_GB2312"/>
          <w:spacing w:val="-4"/>
          <w:sz w:val="32"/>
        </w:rPr>
      </w:pPr>
      <w:r>
        <w:rPr>
          <w:rFonts w:eastAsia="仿宋_GB2312"/>
          <w:spacing w:val="-4"/>
          <w:sz w:val="32"/>
        </w:rPr>
        <w:t>（九）检查各区级行政执法部门涉企行政合规全过程指导工作推进落实情况；</w:t>
      </w:r>
    </w:p>
    <w:p>
      <w:pPr>
        <w:spacing w:line="560" w:lineRule="exact"/>
        <w:ind w:firstLine="624" w:firstLineChars="200"/>
        <w:rPr>
          <w:rFonts w:eastAsia="仿宋_GB2312"/>
          <w:spacing w:val="-4"/>
          <w:sz w:val="32"/>
        </w:rPr>
      </w:pPr>
      <w:r>
        <w:rPr>
          <w:rFonts w:eastAsia="仿宋_GB2312"/>
          <w:spacing w:val="-4"/>
          <w:sz w:val="32"/>
        </w:rPr>
        <w:t>（十）检查各镇（街道）和各区级行政执法部门推行现场执法检查“综合查一次”落实情况；</w:t>
      </w:r>
    </w:p>
    <w:p>
      <w:pPr>
        <w:spacing w:line="560" w:lineRule="exact"/>
        <w:ind w:firstLine="624" w:firstLineChars="200"/>
        <w:rPr>
          <w:rFonts w:eastAsia="仿宋_GB2312"/>
          <w:spacing w:val="-4"/>
          <w:sz w:val="32"/>
        </w:rPr>
      </w:pPr>
      <w:r>
        <w:rPr>
          <w:rFonts w:eastAsia="仿宋_GB2312"/>
          <w:spacing w:val="-4"/>
          <w:sz w:val="32"/>
        </w:rPr>
        <w:t>（十一）检查城市管理、市场监管、生态环境、文化市场、</w:t>
      </w:r>
    </w:p>
    <w:p>
      <w:pPr>
        <w:spacing w:line="560" w:lineRule="exact"/>
        <w:rPr>
          <w:rFonts w:eastAsia="仿宋_GB2312"/>
          <w:spacing w:val="-4"/>
          <w:sz w:val="32"/>
        </w:rPr>
      </w:pPr>
      <w:r>
        <w:rPr>
          <w:rFonts w:eastAsia="仿宋_GB2312"/>
          <w:spacing w:val="-4"/>
          <w:sz w:val="32"/>
        </w:rPr>
        <w:t>交通运输、应急管理、农业农村、水务等牵头主管部门围绕食品安全、知识产权保护、乡村振兴、长江大保护、生态环境保护、大运河文化建设等中心工作、重点工作履行行政执法监督职责、规范现场执法活动情况；</w:t>
      </w:r>
    </w:p>
    <w:p>
      <w:pPr>
        <w:spacing w:line="560" w:lineRule="exact"/>
        <w:ind w:firstLine="624" w:firstLineChars="200"/>
        <w:rPr>
          <w:rFonts w:eastAsia="仿宋_GB2312"/>
          <w:spacing w:val="-4"/>
          <w:sz w:val="32"/>
        </w:rPr>
      </w:pPr>
      <w:r>
        <w:rPr>
          <w:rFonts w:eastAsia="仿宋_GB2312"/>
          <w:spacing w:val="-4"/>
          <w:sz w:val="32"/>
        </w:rPr>
        <w:t>（十二）检查各镇（街道）和各区级行政执法部门行政执法监督体系建设及履行行政执法监督职责情况；</w:t>
      </w:r>
    </w:p>
    <w:p>
      <w:pPr>
        <w:spacing w:line="560" w:lineRule="exact"/>
        <w:ind w:firstLine="624" w:firstLineChars="200"/>
        <w:rPr>
          <w:rFonts w:eastAsia="仿宋_GB2312"/>
          <w:spacing w:val="-4"/>
          <w:sz w:val="32"/>
        </w:rPr>
      </w:pPr>
      <w:r>
        <w:rPr>
          <w:rFonts w:eastAsia="仿宋_GB2312"/>
          <w:spacing w:val="-4"/>
          <w:sz w:val="32"/>
        </w:rPr>
        <w:t>（十三）检查各镇（街道）和各区级行政执法部门推进行政执法信息化建设以及推广使用江苏省行政执法监督平台情况；</w:t>
      </w:r>
    </w:p>
    <w:p>
      <w:pPr>
        <w:spacing w:line="560" w:lineRule="exact"/>
        <w:ind w:firstLine="624" w:firstLineChars="200"/>
        <w:rPr>
          <w:rFonts w:eastAsia="仿宋_GB2312"/>
          <w:spacing w:val="-4"/>
          <w:sz w:val="32"/>
        </w:rPr>
      </w:pPr>
      <w:r>
        <w:rPr>
          <w:rFonts w:eastAsia="仿宋_GB2312"/>
          <w:spacing w:val="-4"/>
          <w:sz w:val="32"/>
        </w:rPr>
        <w:t>（十四）加强对行政执法工作的监督指导，每季度开展行政执法案卷评查不少于一次，全年实地监督不少于一次。</w:t>
      </w:r>
    </w:p>
    <w:p>
      <w:pPr>
        <w:spacing w:line="560" w:lineRule="exact"/>
        <w:ind w:firstLine="624" w:firstLineChars="200"/>
        <w:rPr>
          <w:rFonts w:eastAsia="黑体"/>
          <w:spacing w:val="-4"/>
          <w:sz w:val="32"/>
        </w:rPr>
      </w:pPr>
      <w:r>
        <w:rPr>
          <w:rFonts w:eastAsia="黑体"/>
          <w:spacing w:val="-4"/>
          <w:sz w:val="32"/>
        </w:rPr>
        <w:t>二、时间安排</w:t>
      </w:r>
    </w:p>
    <w:p>
      <w:pPr>
        <w:spacing w:line="560" w:lineRule="exact"/>
        <w:ind w:firstLine="624" w:firstLineChars="200"/>
        <w:rPr>
          <w:rFonts w:eastAsia="仿宋_GB2312"/>
          <w:spacing w:val="-4"/>
          <w:sz w:val="32"/>
        </w:rPr>
      </w:pPr>
      <w:r>
        <w:rPr>
          <w:rFonts w:eastAsia="仿宋_GB2312"/>
          <w:spacing w:val="-4"/>
          <w:sz w:val="32"/>
        </w:rPr>
        <w:t>3～12月，每月随机检查1个镇（街道）和1～2个重点区级行政执法主管部门履行行政执法监督职责以及推进本地区、本领域行政执法规范化建设情况；对其他区级行政执法部门履职情况的检查由区司法局采取集中检查或书面检查形式组织。具体检查时间及内容由区司法局安排，并另行通知。</w:t>
      </w:r>
    </w:p>
    <w:p>
      <w:pPr>
        <w:spacing w:line="560" w:lineRule="exact"/>
        <w:ind w:firstLine="624" w:firstLineChars="200"/>
        <w:rPr>
          <w:rFonts w:eastAsia="黑体"/>
          <w:spacing w:val="-4"/>
          <w:sz w:val="32"/>
        </w:rPr>
      </w:pPr>
      <w:r>
        <w:rPr>
          <w:rFonts w:eastAsia="黑体"/>
          <w:spacing w:val="-4"/>
          <w:sz w:val="32"/>
        </w:rPr>
        <w:t>三、有关要求</w:t>
      </w:r>
    </w:p>
    <w:p>
      <w:pPr>
        <w:spacing w:line="560" w:lineRule="exact"/>
        <w:ind w:firstLine="624" w:firstLineChars="200"/>
        <w:rPr>
          <w:rFonts w:eastAsia="仿宋_GB2312"/>
          <w:spacing w:val="-4"/>
          <w:sz w:val="32"/>
        </w:rPr>
      </w:pPr>
      <w:r>
        <w:rPr>
          <w:rFonts w:eastAsia="仿宋_GB2312"/>
          <w:spacing w:val="-4"/>
          <w:sz w:val="32"/>
        </w:rPr>
        <w:t>(一)根据《江苏省行政执法监督办法》规定，区政府的行政执法监督工作是区政府的法定职责，由区司法局代表区政府具体负责组织实施。监督检查采取听取汇报、查阅</w:t>
      </w:r>
      <w:r>
        <w:rPr>
          <w:rFonts w:hint="eastAsia" w:eastAsia="仿宋_GB2312"/>
          <w:spacing w:val="-4"/>
          <w:sz w:val="32"/>
        </w:rPr>
        <w:t>台账</w:t>
      </w:r>
      <w:r>
        <w:rPr>
          <w:rFonts w:eastAsia="仿宋_GB2312"/>
          <w:spacing w:val="-4"/>
          <w:sz w:val="32"/>
        </w:rPr>
        <w:t>、召开座谈会、走访行政管理相对人、明查暗访、问卷调查、随同执法等方式进行；对重点事项、重点领域的监督检查，由区司法局会同有关部门共同组织，并可邀请人大代表、政协委员、依法行政特邀监督员一同参加，提高监督实效。</w:t>
      </w:r>
    </w:p>
    <w:p>
      <w:pPr>
        <w:spacing w:line="560" w:lineRule="exact"/>
        <w:ind w:firstLine="624" w:firstLineChars="200"/>
        <w:rPr>
          <w:rFonts w:eastAsia="仿宋_GB2312"/>
          <w:spacing w:val="-4"/>
          <w:sz w:val="32"/>
        </w:rPr>
      </w:pPr>
      <w:r>
        <w:rPr>
          <w:rFonts w:eastAsia="仿宋_GB2312"/>
          <w:spacing w:val="-4"/>
          <w:sz w:val="32"/>
        </w:rPr>
        <w:t>(二)各行政执法部门要进一步规范行政执法行为，严格依法行政，自觉接受行政执法监督。各区级行政执法部门应制定本领域年度行政执法检查工作计划，并于3月22日前通过OA系统，将本领域年度行政执法检查工作计划报区司法局备案。并于6月10</w:t>
      </w:r>
      <w:r>
        <w:rPr>
          <w:rFonts w:eastAsia="仿宋_GB2312"/>
          <w:spacing w:val="-8"/>
          <w:sz w:val="32"/>
        </w:rPr>
        <w:t>日和12月10日前，将本领域的行政执法检查工作报告报区司法局。</w:t>
      </w:r>
    </w:p>
    <w:p>
      <w:pPr>
        <w:spacing w:line="560" w:lineRule="exact"/>
        <w:ind w:firstLine="624" w:firstLineChars="200"/>
        <w:rPr>
          <w:rFonts w:eastAsia="仿宋_GB2312"/>
          <w:spacing w:val="-4"/>
          <w:sz w:val="32"/>
        </w:rPr>
      </w:pPr>
      <w:r>
        <w:rPr>
          <w:rFonts w:eastAsia="仿宋_GB2312"/>
          <w:spacing w:val="-4"/>
          <w:sz w:val="32"/>
        </w:rPr>
        <w:t>(三)区司法局要及时汇总检查有关情况。对检查中发现的重大问题要及时向区政府报告，并督促有关地区和部门及时整改。</w:t>
      </w:r>
    </w:p>
    <w:p>
      <w:pPr>
        <w:spacing w:line="320" w:lineRule="exact"/>
        <w:ind w:firstLine="624" w:firstLineChars="200"/>
        <w:rPr>
          <w:rFonts w:eastAsia="仿宋_GB2312"/>
          <w:spacing w:val="-4"/>
          <w:kern w:val="32"/>
          <w:sz w:val="32"/>
          <w:szCs w:val="32"/>
        </w:rPr>
      </w:pPr>
    </w:p>
    <w:p>
      <w:pPr>
        <w:spacing w:line="320" w:lineRule="exact"/>
        <w:ind w:firstLine="624" w:firstLineChars="200"/>
        <w:rPr>
          <w:rFonts w:eastAsia="仿宋_GB2312"/>
          <w:spacing w:val="-4"/>
          <w:kern w:val="32"/>
          <w:sz w:val="32"/>
          <w:szCs w:val="32"/>
        </w:rPr>
      </w:pPr>
    </w:p>
    <w:p>
      <w:pPr>
        <w:spacing w:line="320" w:lineRule="exact"/>
        <w:ind w:firstLine="624" w:firstLineChars="200"/>
        <w:rPr>
          <w:rFonts w:eastAsia="仿宋_GB2312"/>
          <w:spacing w:val="-4"/>
          <w:kern w:val="32"/>
          <w:sz w:val="32"/>
          <w:szCs w:val="32"/>
        </w:rPr>
      </w:pPr>
    </w:p>
    <w:p>
      <w:pPr>
        <w:spacing w:line="320" w:lineRule="exact"/>
        <w:ind w:firstLine="624" w:firstLineChars="200"/>
        <w:rPr>
          <w:rFonts w:eastAsia="仿宋_GB2312"/>
          <w:spacing w:val="-4"/>
          <w:kern w:val="32"/>
          <w:sz w:val="32"/>
          <w:szCs w:val="32"/>
        </w:rPr>
      </w:pPr>
    </w:p>
    <w:p>
      <w:pPr>
        <w:adjustRightInd w:val="0"/>
        <w:snapToGrid w:val="0"/>
        <w:spacing w:line="288" w:lineRule="auto"/>
        <w:ind w:firstLine="3200" w:firstLineChars="1000"/>
        <w:rPr>
          <w:rFonts w:eastAsia="仿宋_GB2312"/>
          <w:sz w:val="32"/>
          <w:szCs w:val="32"/>
        </w:rPr>
      </w:pPr>
      <w:r>
        <w:rPr>
          <w:rFonts w:eastAsia="仿宋_GB2312"/>
          <w:sz w:val="32"/>
          <w:szCs w:val="32"/>
        </w:rPr>
        <w:t>苏州高新区（虎丘区）党政办公室</w:t>
      </w:r>
    </w:p>
    <w:p>
      <w:pPr>
        <w:adjustRightInd w:val="0"/>
        <w:snapToGrid w:val="0"/>
        <w:spacing w:line="288" w:lineRule="auto"/>
        <w:ind w:firstLine="4800" w:firstLineChars="1500"/>
        <w:rPr>
          <w:rFonts w:eastAsia="仿宋_GB2312"/>
          <w:color w:val="000000"/>
          <w:spacing w:val="-4"/>
          <w:sz w:val="32"/>
          <w:szCs w:val="32"/>
        </w:rPr>
      </w:pPr>
      <w:r>
        <w:rPr>
          <w:rFonts w:eastAsia="仿宋_GB2312"/>
          <w:sz w:val="32"/>
          <w:szCs w:val="32"/>
        </w:rPr>
        <w:t>2024年</w:t>
      </w:r>
      <w:r>
        <w:rPr>
          <w:rFonts w:hint="eastAsia" w:eastAsia="仿宋_GB2312"/>
          <w:sz w:val="32"/>
          <w:szCs w:val="32"/>
        </w:rPr>
        <w:t>4</w:t>
      </w:r>
      <w:r>
        <w:rPr>
          <w:rFonts w:eastAsia="仿宋_GB2312"/>
          <w:sz w:val="32"/>
          <w:szCs w:val="32"/>
        </w:rPr>
        <w:t>月</w:t>
      </w:r>
      <w:r>
        <w:rPr>
          <w:rFonts w:hint="eastAsia" w:eastAsia="仿宋_GB2312"/>
          <w:sz w:val="32"/>
          <w:szCs w:val="32"/>
        </w:rPr>
        <w:t>1</w:t>
      </w:r>
      <w:r>
        <w:rPr>
          <w:rFonts w:eastAsia="仿宋_GB2312"/>
          <w:sz w:val="32"/>
          <w:szCs w:val="32"/>
        </w:rPr>
        <w:t>日</w:t>
      </w:r>
    </w:p>
    <w:p/>
    <w:p>
      <w:pPr>
        <w:spacing w:line="320" w:lineRule="exact"/>
        <w:ind w:firstLine="624" w:firstLineChars="200"/>
        <w:rPr>
          <w:rFonts w:eastAsia="仿宋_GB2312"/>
          <w:spacing w:val="-4"/>
          <w:kern w:val="32"/>
          <w:sz w:val="32"/>
          <w:szCs w:val="32"/>
        </w:rPr>
      </w:pPr>
      <w:r>
        <w:rPr>
          <w:rFonts w:eastAsia="仿宋_GB2312"/>
          <w:spacing w:val="-4"/>
          <w:kern w:val="32"/>
          <w:sz w:val="32"/>
          <w:szCs w:val="32"/>
        </w:rPr>
        <w:t>（此件公开发布）</w:t>
      </w:r>
    </w:p>
    <w:p>
      <w:pPr>
        <w:spacing w:line="240" w:lineRule="exact"/>
        <w:rPr>
          <w:rFonts w:eastAsia="仿宋_GB2312"/>
          <w:color w:val="000000"/>
          <w:spacing w:val="-4"/>
          <w:sz w:val="32"/>
          <w:szCs w:val="32"/>
        </w:rPr>
      </w:pPr>
    </w:p>
    <w:p>
      <w:pPr>
        <w:spacing w:line="240" w:lineRule="exact"/>
        <w:rPr>
          <w:rFonts w:eastAsia="仿宋_GB2312"/>
          <w:color w:val="000000"/>
          <w:spacing w:val="-4"/>
          <w:sz w:val="32"/>
          <w:szCs w:val="32"/>
        </w:rPr>
      </w:pPr>
    </w:p>
    <w:p>
      <w:pPr>
        <w:spacing w:line="240" w:lineRule="exact"/>
        <w:rPr>
          <w:rFonts w:eastAsia="仿宋_GB2312"/>
          <w:color w:val="000000"/>
          <w:spacing w:val="-4"/>
          <w:sz w:val="32"/>
          <w:szCs w:val="32"/>
        </w:rPr>
      </w:pPr>
    </w:p>
    <w:p>
      <w:pPr>
        <w:spacing w:line="240" w:lineRule="exact"/>
        <w:rPr>
          <w:rFonts w:eastAsia="仿宋_GB2312"/>
          <w:color w:val="000000"/>
          <w:spacing w:val="-4"/>
          <w:sz w:val="32"/>
          <w:szCs w:val="32"/>
        </w:rPr>
      </w:pPr>
    </w:p>
    <w:p>
      <w:pPr>
        <w:spacing w:line="240" w:lineRule="exact"/>
        <w:rPr>
          <w:rFonts w:eastAsia="仿宋_GB2312"/>
          <w:color w:val="000000"/>
          <w:spacing w:val="-4"/>
          <w:sz w:val="32"/>
          <w:szCs w:val="32"/>
        </w:rPr>
      </w:pPr>
    </w:p>
    <w:p>
      <w:pPr>
        <w:spacing w:line="240" w:lineRule="exact"/>
        <w:rPr>
          <w:rFonts w:eastAsia="仿宋_GB2312"/>
          <w:color w:val="000000"/>
          <w:spacing w:val="-4"/>
          <w:sz w:val="32"/>
          <w:szCs w:val="32"/>
        </w:rPr>
      </w:pPr>
    </w:p>
    <w:p>
      <w:pPr>
        <w:spacing w:line="240" w:lineRule="exact"/>
        <w:rPr>
          <w:rFonts w:eastAsia="仿宋_GB2312"/>
          <w:color w:val="000000"/>
          <w:spacing w:val="-4"/>
          <w:sz w:val="32"/>
          <w:szCs w:val="32"/>
        </w:rPr>
      </w:pPr>
    </w:p>
    <w:p>
      <w:pPr>
        <w:spacing w:line="240" w:lineRule="exact"/>
        <w:rPr>
          <w:rFonts w:eastAsia="仿宋_GB2312"/>
          <w:color w:val="000000"/>
          <w:spacing w:val="-4"/>
          <w:sz w:val="32"/>
          <w:szCs w:val="32"/>
        </w:rPr>
      </w:pPr>
    </w:p>
    <w:p>
      <w:pPr>
        <w:spacing w:line="240" w:lineRule="exact"/>
        <w:rPr>
          <w:rFonts w:eastAsia="仿宋_GB2312"/>
          <w:color w:val="000000"/>
          <w:spacing w:val="-4"/>
          <w:sz w:val="32"/>
          <w:szCs w:val="32"/>
        </w:rPr>
      </w:pPr>
    </w:p>
    <w:p>
      <w:pPr>
        <w:spacing w:line="240" w:lineRule="exact"/>
        <w:rPr>
          <w:rFonts w:eastAsia="仿宋_GB2312"/>
          <w:color w:val="000000"/>
          <w:spacing w:val="-4"/>
          <w:sz w:val="32"/>
          <w:szCs w:val="32"/>
        </w:rPr>
      </w:pPr>
    </w:p>
    <w:p>
      <w:pPr>
        <w:spacing w:line="240" w:lineRule="exact"/>
        <w:rPr>
          <w:rFonts w:eastAsia="仿宋_GB2312"/>
          <w:color w:val="000000"/>
          <w:spacing w:val="-4"/>
          <w:sz w:val="32"/>
          <w:szCs w:val="32"/>
        </w:rPr>
      </w:pPr>
    </w:p>
    <w:p>
      <w:pPr>
        <w:spacing w:line="240" w:lineRule="exact"/>
        <w:rPr>
          <w:rFonts w:eastAsia="仿宋_GB2312"/>
          <w:color w:val="000000"/>
          <w:spacing w:val="-4"/>
          <w:sz w:val="32"/>
          <w:szCs w:val="32"/>
        </w:rPr>
      </w:pPr>
    </w:p>
    <w:p>
      <w:pPr>
        <w:spacing w:line="240" w:lineRule="exact"/>
        <w:rPr>
          <w:rFonts w:eastAsia="仿宋_GB2312"/>
          <w:color w:val="000000"/>
          <w:spacing w:val="-4"/>
          <w:sz w:val="32"/>
          <w:szCs w:val="32"/>
        </w:rPr>
      </w:pPr>
    </w:p>
    <w:p>
      <w:pPr>
        <w:spacing w:line="240" w:lineRule="exact"/>
        <w:rPr>
          <w:rFonts w:eastAsia="仿宋_GB2312"/>
          <w:color w:val="000000"/>
          <w:spacing w:val="-4"/>
          <w:sz w:val="32"/>
          <w:szCs w:val="32"/>
        </w:rPr>
      </w:pPr>
    </w:p>
    <w:p>
      <w:pPr>
        <w:spacing w:line="240" w:lineRule="exact"/>
        <w:rPr>
          <w:rFonts w:eastAsia="仿宋_GB2312"/>
          <w:color w:val="000000"/>
          <w:spacing w:val="-4"/>
          <w:sz w:val="32"/>
          <w:szCs w:val="32"/>
        </w:rPr>
      </w:pPr>
    </w:p>
    <w:p>
      <w:pPr>
        <w:spacing w:line="240" w:lineRule="exact"/>
        <w:rPr>
          <w:rFonts w:eastAsia="仿宋_GB2312"/>
          <w:color w:val="000000"/>
          <w:spacing w:val="-4"/>
          <w:sz w:val="32"/>
          <w:szCs w:val="32"/>
        </w:rPr>
      </w:pPr>
    </w:p>
    <w:p>
      <w:pPr>
        <w:spacing w:line="240" w:lineRule="exact"/>
        <w:rPr>
          <w:rFonts w:eastAsia="仿宋_GB2312"/>
          <w:color w:val="000000"/>
          <w:spacing w:val="-4"/>
          <w:sz w:val="32"/>
          <w:szCs w:val="32"/>
        </w:rPr>
      </w:pPr>
    </w:p>
    <w:p>
      <w:pPr>
        <w:spacing w:line="240" w:lineRule="exact"/>
        <w:ind w:firstLine="624" w:firstLineChars="200"/>
        <w:rPr>
          <w:rFonts w:eastAsia="仿宋_GB2312"/>
          <w:color w:val="000000"/>
          <w:spacing w:val="-4"/>
          <w:sz w:val="32"/>
          <w:szCs w:val="32"/>
        </w:rPr>
      </w:pPr>
    </w:p>
    <w:p>
      <w:pPr>
        <w:pBdr>
          <w:top w:val="single" w:color="auto" w:sz="4" w:space="1"/>
          <w:bottom w:val="single" w:color="auto" w:sz="4" w:space="1"/>
          <w:between w:val="single" w:color="auto" w:sz="4" w:space="1"/>
        </w:pBdr>
        <w:adjustRightInd w:val="0"/>
        <w:snapToGrid w:val="0"/>
        <w:ind w:firstLine="140" w:firstLineChars="50"/>
      </w:pPr>
      <w:r>
        <w:rPr>
          <w:rFonts w:eastAsia="仿宋_GB2312"/>
          <w:color w:val="000000"/>
          <w:sz w:val="28"/>
          <w:szCs w:val="28"/>
        </w:rPr>
        <w:t>苏州高新区（虎丘区）党政办公室              20</w:t>
      </w:r>
      <w:r>
        <w:rPr>
          <w:rFonts w:hint="eastAsia" w:eastAsia="仿宋_GB2312"/>
          <w:color w:val="000000"/>
          <w:sz w:val="28"/>
          <w:szCs w:val="28"/>
        </w:rPr>
        <w:t>24</w:t>
      </w:r>
      <w:r>
        <w:rPr>
          <w:rFonts w:eastAsia="仿宋_GB2312"/>
          <w:color w:val="000000"/>
          <w:sz w:val="28"/>
          <w:szCs w:val="28"/>
        </w:rPr>
        <w:t>年</w:t>
      </w:r>
      <w:r>
        <w:rPr>
          <w:rFonts w:hint="eastAsia" w:eastAsia="仿宋_GB2312"/>
          <w:color w:val="000000"/>
          <w:sz w:val="28"/>
          <w:szCs w:val="28"/>
        </w:rPr>
        <w:t>4</w:t>
      </w:r>
      <w:r>
        <w:rPr>
          <w:rFonts w:eastAsia="仿宋_GB2312"/>
          <w:color w:val="000000"/>
          <w:sz w:val="28"/>
          <w:szCs w:val="28"/>
        </w:rPr>
        <w:t>月</w:t>
      </w:r>
      <w:r>
        <w:rPr>
          <w:rFonts w:hint="eastAsia" w:eastAsia="仿宋_GB2312"/>
          <w:color w:val="000000"/>
          <w:sz w:val="28"/>
          <w:szCs w:val="28"/>
        </w:rPr>
        <w:t>1</w:t>
      </w:r>
      <w:r>
        <w:rPr>
          <w:rFonts w:eastAsia="仿宋_GB2312"/>
          <w:color w:val="000000"/>
          <w:sz w:val="28"/>
          <w:szCs w:val="28"/>
        </w:rPr>
        <w:t>日印发</w:t>
      </w:r>
    </w:p>
    <w:sectPr>
      <w:footerReference r:id="rId3" w:type="default"/>
      <w:footerReference r:id="rId4" w:type="even"/>
      <w:pgSz w:w="11906" w:h="16838"/>
      <w:pgMar w:top="2041" w:right="1474" w:bottom="1985" w:left="1588" w:header="851" w:footer="15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小标宋">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page" w:x="9541" w:y="-215"/>
      <w:rPr>
        <w:rStyle w:val="6"/>
        <w:sz w:val="28"/>
        <w:szCs w:val="28"/>
      </w:rPr>
    </w:pPr>
    <w:r>
      <w:rPr>
        <w:rStyle w:val="6"/>
        <w:rFonts w:hint="eastAsia"/>
        <w:sz w:val="28"/>
        <w:szCs w:val="28"/>
      </w:rPr>
      <w:t>—</w:t>
    </w:r>
    <w:r>
      <w:rPr>
        <w:rStyle w:val="6"/>
        <w:sz w:val="28"/>
        <w:szCs w:val="28"/>
      </w:rPr>
      <w:fldChar w:fldCharType="begin"/>
    </w:r>
    <w:r>
      <w:rPr>
        <w:rStyle w:val="6"/>
        <w:sz w:val="28"/>
        <w:szCs w:val="28"/>
      </w:rPr>
      <w:instrText xml:space="preserve">PAGE  </w:instrText>
    </w:r>
    <w:r>
      <w:rPr>
        <w:rStyle w:val="6"/>
        <w:sz w:val="28"/>
        <w:szCs w:val="28"/>
      </w:rPr>
      <w:fldChar w:fldCharType="separate"/>
    </w:r>
    <w:r>
      <w:rPr>
        <w:rStyle w:val="6"/>
        <w:sz w:val="28"/>
        <w:szCs w:val="28"/>
      </w:rPr>
      <w:t>4</w:t>
    </w:r>
    <w:r>
      <w:rPr>
        <w:rStyle w:val="6"/>
        <w:sz w:val="28"/>
        <w:szCs w:val="28"/>
      </w:rPr>
      <w:fldChar w:fldCharType="end"/>
    </w:r>
    <w:r>
      <w:rPr>
        <w:rStyle w:val="6"/>
        <w:rFonts w:hint="eastAsia"/>
        <w:sz w:val="28"/>
        <w:szCs w:val="28"/>
      </w:rPr>
      <w:t>—</w:t>
    </w:r>
  </w:p>
  <w:p>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page" w:x="1714" w:y="-241"/>
      <w:rPr>
        <w:rStyle w:val="6"/>
        <w:sz w:val="28"/>
        <w:szCs w:val="28"/>
      </w:rPr>
    </w:pPr>
    <w:r>
      <w:rPr>
        <w:rStyle w:val="6"/>
        <w:rFonts w:hint="eastAsia"/>
        <w:sz w:val="28"/>
        <w:szCs w:val="28"/>
      </w:rPr>
      <w:t>—</w:t>
    </w:r>
    <w:r>
      <w:rPr>
        <w:rStyle w:val="6"/>
        <w:sz w:val="28"/>
        <w:szCs w:val="28"/>
      </w:rPr>
      <w:fldChar w:fldCharType="begin"/>
    </w:r>
    <w:r>
      <w:rPr>
        <w:rStyle w:val="6"/>
        <w:sz w:val="28"/>
        <w:szCs w:val="28"/>
      </w:rPr>
      <w:instrText xml:space="preserve">PAGE  </w:instrText>
    </w:r>
    <w:r>
      <w:rPr>
        <w:rStyle w:val="6"/>
        <w:sz w:val="28"/>
        <w:szCs w:val="28"/>
      </w:rPr>
      <w:fldChar w:fldCharType="separate"/>
    </w:r>
    <w:r>
      <w:rPr>
        <w:rStyle w:val="6"/>
        <w:sz w:val="28"/>
        <w:szCs w:val="28"/>
      </w:rPr>
      <w:t>2</w:t>
    </w:r>
    <w:r>
      <w:rPr>
        <w:rStyle w:val="6"/>
        <w:sz w:val="28"/>
        <w:szCs w:val="28"/>
      </w:rPr>
      <w:fldChar w:fldCharType="end"/>
    </w:r>
    <w:r>
      <w:rPr>
        <w:rStyle w:val="6"/>
        <w:rFonts w:hint="eastAsia"/>
        <w:sz w:val="28"/>
        <w:szCs w:val="28"/>
      </w:rPr>
      <w:t>—</w:t>
    </w:r>
  </w:p>
  <w:p>
    <w:pPr>
      <w:pStyle w:val="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1OGJmYjUwZDkwYTgxZDg3N2MwNmFhODg3NmIyMjMifQ=="/>
  </w:docVars>
  <w:rsids>
    <w:rsidRoot w:val="320D0B05"/>
    <w:rsid w:val="00003126"/>
    <w:rsid w:val="00290E14"/>
    <w:rsid w:val="0068109D"/>
    <w:rsid w:val="00707DE8"/>
    <w:rsid w:val="009D4073"/>
    <w:rsid w:val="009D4E03"/>
    <w:rsid w:val="00AA3BC8"/>
    <w:rsid w:val="00BA2120"/>
    <w:rsid w:val="00E478B6"/>
    <w:rsid w:val="0E14552A"/>
    <w:rsid w:val="320D0B05"/>
    <w:rsid w:val="4E881B89"/>
    <w:rsid w:val="4EA25CE5"/>
    <w:rsid w:val="5F530C02"/>
    <w:rsid w:val="6B166F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autoRedefine/>
    <w:qFormat/>
    <w:uiPriority w:val="99"/>
    <w:pPr>
      <w:tabs>
        <w:tab w:val="center" w:pos="4153"/>
        <w:tab w:val="right" w:pos="8306"/>
      </w:tabs>
      <w:snapToGrid w:val="0"/>
      <w:jc w:val="left"/>
    </w:pPr>
    <w:rPr>
      <w:sz w:val="18"/>
      <w:szCs w:val="18"/>
    </w:rPr>
  </w:style>
  <w:style w:type="paragraph" w:styleId="3">
    <w:name w:val="header"/>
    <w:basedOn w:val="1"/>
    <w:link w:val="7"/>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autoRedefine/>
    <w:qFormat/>
    <w:uiPriority w:val="0"/>
  </w:style>
  <w:style w:type="character" w:customStyle="1" w:styleId="7">
    <w:name w:val="页眉 Char"/>
    <w:basedOn w:val="5"/>
    <w:link w:val="3"/>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257</Words>
  <Characters>1471</Characters>
  <Lines>12</Lines>
  <Paragraphs>3</Paragraphs>
  <TotalTime>2</TotalTime>
  <ScaleCrop>false</ScaleCrop>
  <LinksUpToDate>false</LinksUpToDate>
  <CharactersWithSpaces>1725</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2024-03-12T06:23:00Z</dcterms:created>
  <dc:creator>涛哥</dc:creator>
  <cp:lastModifiedBy>涛哥</cp:lastModifiedBy>
  <dcterms:modified xsi:type="dcterms:W3CDTF">2024-05-20T06:25:21Z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762505E2C66C4C6884ADA6DF74EAC41B_13</vt:lpwstr>
  </property>
</Properties>
</file>