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5C990">
      <w:pPr>
        <w:adjustRightInd w:val="0"/>
        <w:snapToGrid w:val="0"/>
        <w:jc w:val="center"/>
        <w:rPr>
          <w:rFonts w:hint="default" w:ascii="Times New Roman Regular" w:hAnsi="Times New Roman Regular" w:eastAsia="小标宋" w:cs="Times New Roman Regular"/>
          <w:color w:val="000000"/>
          <w:sz w:val="44"/>
          <w:szCs w:val="44"/>
        </w:rPr>
      </w:pPr>
    </w:p>
    <w:p w14:paraId="433FCE1B">
      <w:pPr>
        <w:adjustRightInd w:val="0"/>
        <w:snapToGrid w:val="0"/>
        <w:jc w:val="center"/>
        <w:rPr>
          <w:rFonts w:hint="default" w:ascii="Times New Roman Regular" w:hAnsi="Times New Roman Regular" w:eastAsia="小标宋" w:cs="Times New Roman Regular"/>
          <w:color w:val="000000"/>
          <w:sz w:val="44"/>
          <w:szCs w:val="44"/>
        </w:rPr>
      </w:pPr>
      <w:bookmarkStart w:id="0" w:name="_GoBack"/>
      <w:r>
        <w:rPr>
          <w:rFonts w:hint="eastAsia" w:ascii="Times New Roman Regular" w:hAnsi="Times New Roman Regular" w:eastAsia="小标宋" w:cs="Times New Roman Regular"/>
          <w:color w:val="000000"/>
          <w:sz w:val="44"/>
          <w:szCs w:val="44"/>
          <w:lang w:val="en-US" w:eastAsia="zh-CN"/>
        </w:rPr>
        <w:t>关于公布苏州高新区（虎丘区）行政检查主体的公告</w:t>
      </w:r>
    </w:p>
    <w:bookmarkEnd w:id="0"/>
    <w:p w14:paraId="4E6E75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right="0"/>
        <w:jc w:val="left"/>
        <w:rPr>
          <w:rFonts w:hint="eastAsia" w:ascii="Times New Roman Regular" w:hAnsi="Times New Roman Regular" w:eastAsia="仿宋_GB2312" w:cs="Times New Roman Regular"/>
          <w:color w:val="000000"/>
          <w:kern w:val="0"/>
          <w:sz w:val="32"/>
          <w:szCs w:val="32"/>
          <w:lang w:val="en-US" w:eastAsia="zh-CN" w:bidi="ar-SA"/>
        </w:rPr>
      </w:pPr>
    </w:p>
    <w:p w14:paraId="4E2C17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right="0" w:firstLine="640" w:firstLineChars="200"/>
        <w:jc w:val="left"/>
        <w:rPr>
          <w:rFonts w:hint="eastAsia" w:ascii="Times New Roman Regular" w:hAnsi="Times New Roman Regular" w:eastAsia="仿宋_GB2312" w:cs="Times New Roman Regular"/>
          <w:color w:val="000000"/>
          <w:kern w:val="0"/>
          <w:sz w:val="32"/>
          <w:szCs w:val="32"/>
          <w:lang w:val="en-US" w:eastAsia="zh-CN" w:bidi="ar-SA"/>
        </w:rPr>
      </w:pPr>
      <w:r>
        <w:rPr>
          <w:rFonts w:hint="eastAsia" w:ascii="Times New Roman Regular" w:hAnsi="Times New Roman Regular" w:eastAsia="仿宋_GB2312" w:cs="Times New Roman Regular"/>
          <w:color w:val="000000"/>
          <w:kern w:val="0"/>
          <w:sz w:val="32"/>
          <w:szCs w:val="32"/>
          <w:lang w:val="en-US" w:eastAsia="zh-CN" w:bidi="ar-SA"/>
        </w:rPr>
        <w:t>根据《国务院办公厅关于严格规范涉企行政检查的意见》（国办发〔2024〕54号）和省政府办公厅《关于进一步规范涉企行政检查若干措施的通知》（苏政办发〔2025〕14号）《江苏省行政执法监督办法》（江苏省人民政府令第176号）</w:t>
      </w:r>
      <w:r>
        <w:rPr>
          <w:rFonts w:hint="eastAsia" w:ascii="Times New Roman Regular" w:hAnsi="Times New Roman Regular" w:cs="Times New Roman Regular"/>
          <w:color w:val="000000"/>
          <w:kern w:val="0"/>
          <w:sz w:val="32"/>
          <w:szCs w:val="32"/>
          <w:lang w:val="en-US" w:eastAsia="zh-CN" w:bidi="ar-SA"/>
        </w:rPr>
        <w:t>以及</w:t>
      </w:r>
      <w:r>
        <w:rPr>
          <w:rFonts w:hint="eastAsia" w:ascii="Times New Roman Regular" w:hAnsi="Times New Roman Regular" w:eastAsia="仿宋_GB2312" w:cs="Times New Roman Regular"/>
          <w:color w:val="000000"/>
          <w:kern w:val="0"/>
          <w:sz w:val="32"/>
          <w:szCs w:val="32"/>
          <w:lang w:val="en-US" w:eastAsia="zh-CN" w:bidi="ar-SA"/>
        </w:rPr>
        <w:t>苏州市政府办公室《关于进一步规范涉企行政检查</w:t>
      </w:r>
      <w:r>
        <w:rPr>
          <w:rFonts w:hint="eastAsia" w:ascii="Times New Roman Regular" w:hAnsi="Times New Roman Regular" w:cs="Times New Roman Regular"/>
          <w:color w:val="000000"/>
          <w:kern w:val="0"/>
          <w:sz w:val="32"/>
          <w:szCs w:val="32"/>
          <w:lang w:val="en-US" w:eastAsia="zh-CN" w:bidi="ar-SA"/>
        </w:rPr>
        <w:t xml:space="preserve"> </w:t>
      </w:r>
      <w:r>
        <w:rPr>
          <w:rFonts w:hint="eastAsia" w:ascii="Times New Roman Regular" w:hAnsi="Times New Roman Regular" w:eastAsia="仿宋_GB2312" w:cs="Times New Roman Regular"/>
          <w:color w:val="000000"/>
          <w:kern w:val="0"/>
          <w:sz w:val="32"/>
          <w:szCs w:val="32"/>
          <w:lang w:val="en-US" w:eastAsia="zh-CN" w:bidi="ar-SA"/>
        </w:rPr>
        <w:t>深入推进“综合查一次”改革的实施意见的通知》（苏府办〔2025〕47号）要求，依法全面梳理规范苏州市市级行政检查主体，现予以公布。</w:t>
      </w:r>
    </w:p>
    <w:p w14:paraId="115737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left="0" w:right="0" w:firstLine="420"/>
        <w:jc w:val="left"/>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p>
    <w:p w14:paraId="0ADA247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left="0" w:right="0" w:firstLine="420"/>
        <w:jc w:val="left"/>
        <w:rPr>
          <w:rFonts w:hint="eastAsia" w:ascii="Times New Roman Regular" w:hAnsi="Times New Roman Regular" w:eastAsia="仿宋_GB2312" w:cs="Times New Roman Regular"/>
          <w:color w:val="000000"/>
          <w:kern w:val="0"/>
          <w:sz w:val="32"/>
          <w:szCs w:val="32"/>
          <w:lang w:val="en-US" w:eastAsia="zh-CN" w:bidi="ar-SA"/>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Times New Roman Regular" w:hAnsi="Times New Roman Regular" w:eastAsia="仿宋_GB2312" w:cs="Times New Roman Regular"/>
          <w:color w:val="000000"/>
          <w:kern w:val="0"/>
          <w:sz w:val="32"/>
          <w:szCs w:val="32"/>
          <w:lang w:val="en-US" w:eastAsia="zh-CN" w:bidi="ar-SA"/>
        </w:rPr>
        <w:t>                                                 苏州高新区（虎丘区）司法局</w:t>
      </w:r>
    </w:p>
    <w:p w14:paraId="02B621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06" w:beforeAutospacing="0" w:after="106" w:afterAutospacing="0" w:line="23" w:lineRule="atLeast"/>
        <w:ind w:left="0" w:right="0" w:firstLine="420"/>
        <w:jc w:val="left"/>
        <w:rPr>
          <w:rFonts w:hint="eastAsia" w:ascii="Times New Roman Regular" w:hAnsi="Times New Roman Regular" w:eastAsia="仿宋_GB2312" w:cs="Times New Roman Regular"/>
          <w:color w:val="000000"/>
          <w:kern w:val="0"/>
          <w:sz w:val="32"/>
          <w:szCs w:val="32"/>
          <w:lang w:val="en-US" w:eastAsia="zh-CN" w:bidi="ar-SA"/>
        </w:rPr>
      </w:pPr>
      <w:r>
        <w:rPr>
          <w:rFonts w:hint="eastAsia" w:ascii="Times New Roman Regular" w:hAnsi="Times New Roman Regular" w:eastAsia="仿宋_GB2312" w:cs="Times New Roman Regular"/>
          <w:color w:val="000000"/>
          <w:kern w:val="0"/>
          <w:sz w:val="32"/>
          <w:szCs w:val="32"/>
          <w:lang w:val="en-US" w:eastAsia="zh-CN" w:bidi="ar-SA"/>
        </w:rPr>
        <w:t>                                   2025年</w:t>
      </w:r>
      <w:r>
        <w:rPr>
          <w:rFonts w:hint="eastAsia" w:ascii="Times New Roman Regular" w:hAnsi="Times New Roman Regular" w:cs="Times New Roman Regular"/>
          <w:color w:val="000000"/>
          <w:kern w:val="0"/>
          <w:sz w:val="32"/>
          <w:szCs w:val="32"/>
          <w:lang w:val="en-US" w:eastAsia="zh-CN" w:bidi="ar-SA"/>
        </w:rPr>
        <w:t>5</w:t>
      </w:r>
      <w:r>
        <w:rPr>
          <w:rFonts w:hint="eastAsia" w:ascii="Times New Roman Regular" w:hAnsi="Times New Roman Regular" w:eastAsia="仿宋_GB2312" w:cs="Times New Roman Regular"/>
          <w:color w:val="000000"/>
          <w:kern w:val="0"/>
          <w:sz w:val="32"/>
          <w:szCs w:val="32"/>
          <w:lang w:val="en-US" w:eastAsia="zh-CN" w:bidi="ar-SA"/>
        </w:rPr>
        <w:t>月</w:t>
      </w:r>
      <w:r>
        <w:rPr>
          <w:rFonts w:hint="eastAsia" w:ascii="Times New Roman Regular" w:hAnsi="Times New Roman Regular" w:cs="Times New Roman Regular"/>
          <w:color w:val="000000"/>
          <w:kern w:val="0"/>
          <w:sz w:val="32"/>
          <w:szCs w:val="32"/>
          <w:lang w:val="en-US" w:eastAsia="zh-CN" w:bidi="ar-SA"/>
        </w:rPr>
        <w:t>22</w:t>
      </w:r>
      <w:r>
        <w:rPr>
          <w:rFonts w:hint="eastAsia" w:ascii="Times New Roman Regular" w:hAnsi="Times New Roman Regular" w:eastAsia="仿宋_GB2312" w:cs="Times New Roman Regular"/>
          <w:color w:val="000000"/>
          <w:kern w:val="0"/>
          <w:sz w:val="32"/>
          <w:szCs w:val="32"/>
          <w:lang w:val="en-US" w:eastAsia="zh-CN" w:bidi="ar-SA"/>
        </w:rPr>
        <w:t>日</w:t>
      </w:r>
    </w:p>
    <w:p w14:paraId="7683E5E0">
      <w:pPr>
        <w:adjustRightInd w:val="0"/>
        <w:snapToGrid w:val="0"/>
        <w:jc w:val="both"/>
        <w:rPr>
          <w:rFonts w:hint="default" w:ascii="Times New Roman Regular" w:hAnsi="Times New Roman Regular" w:eastAsia="小标宋" w:cs="Times New Roman Regular"/>
          <w:color w:val="000000"/>
          <w:sz w:val="44"/>
          <w:szCs w:val="44"/>
        </w:rPr>
      </w:pPr>
    </w:p>
    <w:p w14:paraId="149E094D">
      <w:pPr>
        <w:adjustRightInd w:val="0"/>
        <w:snapToGrid w:val="0"/>
        <w:jc w:val="both"/>
        <w:rPr>
          <w:rFonts w:hint="default" w:ascii="Times New Roman Regular" w:hAnsi="Times New Roman Regular" w:eastAsia="小标宋" w:cs="Times New Roman Regular"/>
          <w:color w:val="000000"/>
          <w:sz w:val="44"/>
          <w:szCs w:val="44"/>
        </w:rPr>
      </w:pPr>
    </w:p>
    <w:p w14:paraId="1785D703">
      <w:pPr>
        <w:adjustRightInd w:val="0"/>
        <w:snapToGrid w:val="0"/>
        <w:jc w:val="both"/>
        <w:rPr>
          <w:rFonts w:hint="default" w:ascii="Times New Roman Regular" w:hAnsi="Times New Roman Regular" w:eastAsia="小标宋" w:cs="Times New Roman Regular"/>
          <w:color w:val="000000"/>
          <w:sz w:val="44"/>
          <w:szCs w:val="44"/>
        </w:rPr>
      </w:pPr>
    </w:p>
    <w:p w14:paraId="6E9AC1E7">
      <w:pPr>
        <w:adjustRightInd w:val="0"/>
        <w:snapToGrid w:val="0"/>
        <w:jc w:val="both"/>
        <w:rPr>
          <w:rFonts w:hint="default" w:ascii="Times New Roman Regular" w:hAnsi="Times New Roman Regular" w:eastAsia="小标宋" w:cs="Times New Roman Regular"/>
          <w:color w:val="000000"/>
          <w:sz w:val="44"/>
          <w:szCs w:val="44"/>
        </w:rPr>
      </w:pPr>
    </w:p>
    <w:p w14:paraId="1C8A2851">
      <w:pPr>
        <w:adjustRightInd w:val="0"/>
        <w:snapToGrid w:val="0"/>
        <w:jc w:val="both"/>
        <w:rPr>
          <w:rFonts w:hint="default" w:ascii="Times New Roman Regular" w:hAnsi="Times New Roman Regular" w:eastAsia="小标宋" w:cs="Times New Roman Regular"/>
          <w:color w:val="000000"/>
          <w:sz w:val="44"/>
          <w:szCs w:val="44"/>
        </w:rPr>
      </w:pPr>
    </w:p>
    <w:p w14:paraId="47E8201A">
      <w:pPr>
        <w:adjustRightInd w:val="0"/>
        <w:snapToGrid w:val="0"/>
        <w:jc w:val="both"/>
        <w:rPr>
          <w:rFonts w:hint="default" w:ascii="Times New Roman Regular" w:hAnsi="Times New Roman Regular" w:eastAsia="小标宋" w:cs="Times New Roman Regular"/>
          <w:color w:val="000000"/>
          <w:sz w:val="44"/>
          <w:szCs w:val="44"/>
        </w:rPr>
      </w:pPr>
    </w:p>
    <w:p w14:paraId="1D9B6C64">
      <w:pPr>
        <w:adjustRightInd w:val="0"/>
        <w:snapToGrid w:val="0"/>
        <w:jc w:val="both"/>
        <w:rPr>
          <w:rFonts w:hint="eastAsia" w:ascii="Times New Roman Regular" w:hAnsi="Times New Roman Regular" w:eastAsia="小标宋" w:cs="Times New Roman Regular"/>
          <w:color w:val="000000"/>
          <w:sz w:val="44"/>
          <w:szCs w:val="44"/>
          <w:lang w:val="en-US" w:eastAsia="zh-CN"/>
        </w:rPr>
      </w:pPr>
    </w:p>
    <w:p w14:paraId="1503BE00">
      <w:pPr>
        <w:adjustRightInd w:val="0"/>
        <w:snapToGrid w:val="0"/>
        <w:jc w:val="center"/>
        <w:rPr>
          <w:rFonts w:hint="eastAsia" w:ascii="Times New Roman Regular" w:hAnsi="Times New Roman Regular" w:eastAsia="小标宋" w:cs="Times New Roman Regular"/>
          <w:color w:val="000000"/>
          <w:sz w:val="44"/>
          <w:szCs w:val="44"/>
          <w:lang w:eastAsia="zh-CN"/>
        </w:rPr>
      </w:pPr>
      <w:r>
        <w:rPr>
          <w:rFonts w:hint="eastAsia" w:ascii="Times New Roman Regular" w:hAnsi="Times New Roman Regular" w:eastAsia="小标宋" w:cs="Times New Roman Regular"/>
          <w:color w:val="000000"/>
          <w:sz w:val="44"/>
          <w:szCs w:val="44"/>
          <w:lang w:val="en-US" w:eastAsia="zh-CN"/>
        </w:rPr>
        <w:t>高新区</w:t>
      </w:r>
      <w:r>
        <w:rPr>
          <w:rFonts w:hint="default" w:ascii="Times New Roman Regular" w:hAnsi="Times New Roman Regular" w:eastAsia="小标宋" w:cs="Times New Roman Regular"/>
          <w:color w:val="000000"/>
          <w:sz w:val="44"/>
          <w:szCs w:val="44"/>
        </w:rPr>
        <w:t>行政</w:t>
      </w:r>
      <w:r>
        <w:rPr>
          <w:rFonts w:hint="default" w:ascii="Times New Roman Regular" w:hAnsi="Times New Roman Regular" w:eastAsia="小标宋" w:cs="Times New Roman Regular"/>
          <w:color w:val="000000"/>
          <w:sz w:val="44"/>
          <w:szCs w:val="44"/>
          <w:lang w:eastAsia="zh-CN"/>
        </w:rPr>
        <w:t>检查</w:t>
      </w:r>
      <w:r>
        <w:rPr>
          <w:rFonts w:hint="default" w:ascii="Times New Roman Regular" w:hAnsi="Times New Roman Regular" w:eastAsia="小标宋" w:cs="Times New Roman Regular"/>
          <w:color w:val="000000"/>
          <w:sz w:val="44"/>
          <w:szCs w:val="44"/>
        </w:rPr>
        <w:t>主体</w:t>
      </w:r>
      <w:r>
        <w:rPr>
          <w:rFonts w:hint="eastAsia" w:ascii="Times New Roman Regular" w:hAnsi="Times New Roman Regular" w:eastAsia="小标宋" w:cs="Times New Roman Regular"/>
          <w:color w:val="000000"/>
          <w:sz w:val="44"/>
          <w:szCs w:val="44"/>
          <w:lang w:val="en-US" w:eastAsia="zh-CN"/>
        </w:rPr>
        <w:t>清单</w:t>
      </w:r>
    </w:p>
    <w:p w14:paraId="2DFD12A5">
      <w:pPr>
        <w:adjustRightInd w:val="0"/>
        <w:snapToGrid w:val="0"/>
        <w:spacing w:line="580" w:lineRule="exact"/>
        <w:ind w:firstLine="640" w:firstLineChars="200"/>
        <w:rPr>
          <w:rFonts w:hint="default" w:ascii="Times New Roman Regular" w:hAnsi="Times New Roman Regular" w:eastAsia="黑体" w:cs="Times New Roman Regular"/>
          <w:color w:val="000000"/>
          <w:szCs w:val="32"/>
        </w:rPr>
      </w:pPr>
    </w:p>
    <w:p w14:paraId="241C3E29">
      <w:pPr>
        <w:adjustRightInd w:val="0"/>
        <w:snapToGrid w:val="0"/>
        <w:spacing w:line="580" w:lineRule="exact"/>
        <w:ind w:firstLine="640" w:firstLineChars="200"/>
        <w:rPr>
          <w:rFonts w:hint="default" w:ascii="Times New Roman Regular" w:hAnsi="Times New Roman Regular" w:eastAsia="黑体" w:cs="Times New Roman Regular"/>
          <w:color w:val="000000"/>
          <w:szCs w:val="32"/>
          <w:lang w:eastAsia="zh-CN"/>
        </w:rPr>
      </w:pPr>
      <w:r>
        <w:rPr>
          <w:rFonts w:hint="default" w:ascii="Times New Roman Regular" w:hAnsi="Times New Roman Regular" w:eastAsia="黑体" w:cs="Times New Roman Regular"/>
          <w:color w:val="000000"/>
          <w:szCs w:val="32"/>
        </w:rPr>
        <w:t>一、法定行政机关</w:t>
      </w:r>
      <w:r>
        <w:rPr>
          <w:rFonts w:hint="default" w:ascii="Times New Roman Regular" w:hAnsi="Times New Roman Regular" w:eastAsia="黑体" w:cs="Times New Roman Regular"/>
          <w:color w:val="000000"/>
          <w:szCs w:val="32"/>
          <w:lang w:eastAsia="zh-CN"/>
        </w:rPr>
        <w:t>（</w:t>
      </w:r>
      <w:r>
        <w:rPr>
          <w:rFonts w:hint="default" w:ascii="Times New Roman Regular" w:hAnsi="Times New Roman Regular" w:eastAsia="黑体" w:cs="Times New Roman Regular"/>
          <w:color w:val="000000"/>
          <w:szCs w:val="32"/>
          <w:lang w:val="en-US" w:eastAsia="zh-CN"/>
        </w:rPr>
        <w:t>25个</w:t>
      </w:r>
      <w:r>
        <w:rPr>
          <w:rFonts w:hint="default" w:ascii="Times New Roman Regular" w:hAnsi="Times New Roman Regular" w:eastAsia="黑体" w:cs="Times New Roman Regular"/>
          <w:color w:val="000000"/>
          <w:szCs w:val="32"/>
          <w:lang w:eastAsia="zh-CN"/>
        </w:rPr>
        <w:t>）</w:t>
      </w:r>
    </w:p>
    <w:p w14:paraId="26B78CC4">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档案局</w:t>
      </w:r>
    </w:p>
    <w:p w14:paraId="730D5996">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苏州高新区（虎丘区）互联网信息办公室</w:t>
      </w:r>
    </w:p>
    <w:p w14:paraId="75056524">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苏州高新区（虎丘区）经济发展委员会</w:t>
      </w:r>
    </w:p>
    <w:p w14:paraId="0A0611DA">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val="en-US" w:eastAsia="zh-CN"/>
        </w:rPr>
      </w:pPr>
      <w:r>
        <w:rPr>
          <w:rFonts w:hint="default" w:ascii="Times New Roman Regular" w:hAnsi="Times New Roman Regular" w:cs="Times New Roman Regular"/>
          <w:color w:val="000000"/>
          <w:szCs w:val="32"/>
          <w:highlight w:val="none"/>
          <w:lang w:val="en-US" w:eastAsia="zh-CN"/>
        </w:rPr>
        <w:t>苏州高新区（虎丘区）教育局</w:t>
      </w:r>
    </w:p>
    <w:p w14:paraId="28CCA13F">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val="en-US" w:eastAsia="zh-CN"/>
        </w:rPr>
      </w:pPr>
      <w:r>
        <w:rPr>
          <w:rFonts w:hint="default" w:ascii="Times New Roman Regular" w:hAnsi="Times New Roman Regular" w:cs="Times New Roman Regular"/>
          <w:color w:val="000000"/>
          <w:szCs w:val="32"/>
          <w:highlight w:val="none"/>
          <w:lang w:val="en-US" w:eastAsia="zh-CN"/>
        </w:rPr>
        <w:t>苏州高新区（虎丘区）科技创新局</w:t>
      </w:r>
    </w:p>
    <w:p w14:paraId="6E07601E">
      <w:pPr>
        <w:adjustRightInd w:val="0"/>
        <w:snapToGrid w:val="0"/>
        <w:spacing w:line="580" w:lineRule="exact"/>
        <w:ind w:firstLine="640" w:firstLineChars="200"/>
        <w:rPr>
          <w:rFonts w:hint="default" w:ascii="Times New Roman Regular" w:hAnsi="Times New Roman Regular" w:cs="Times New Roman Regular"/>
          <w:color w:val="000000"/>
          <w:szCs w:val="32"/>
          <w:highlight w:val="yellow"/>
          <w:lang w:val="en-US" w:eastAsia="zh-CN"/>
        </w:rPr>
      </w:pPr>
      <w:r>
        <w:rPr>
          <w:rFonts w:hint="default" w:ascii="Times New Roman Regular" w:hAnsi="Times New Roman Regular" w:cs="Times New Roman Regular"/>
          <w:color w:val="000000"/>
          <w:szCs w:val="32"/>
          <w:highlight w:val="none"/>
          <w:lang w:val="en-US" w:eastAsia="zh-CN"/>
        </w:rPr>
        <w:t>苏州高新区（虎丘区）民族宗教事务局</w:t>
      </w:r>
    </w:p>
    <w:p w14:paraId="5EDE56E6">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val="en-US" w:eastAsia="zh-CN"/>
        </w:rPr>
      </w:pPr>
      <w:r>
        <w:rPr>
          <w:rFonts w:hint="default" w:ascii="Times New Roman Regular" w:hAnsi="Times New Roman Regular" w:cs="Times New Roman Regular"/>
          <w:color w:val="000000"/>
          <w:szCs w:val="32"/>
          <w:highlight w:val="none"/>
          <w:lang w:val="en-US" w:eastAsia="zh-CN"/>
        </w:rPr>
        <w:t>苏州市公安局苏州高新区分局（虎丘分局）</w:t>
      </w:r>
    </w:p>
    <w:p w14:paraId="478E45A6">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苏州高新区（虎丘区）社会事业局</w:t>
      </w:r>
    </w:p>
    <w:p w14:paraId="5526D3F0">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苏州高新区（虎丘区）司法局</w:t>
      </w:r>
    </w:p>
    <w:p w14:paraId="0E2D9E82">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财政局</w:t>
      </w:r>
    </w:p>
    <w:p w14:paraId="4DBAC5AA">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苏州高新区（虎丘区）人力资源和社会保障局</w:t>
      </w:r>
    </w:p>
    <w:p w14:paraId="5A184FB6">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苏州高新区（虎丘区）住房和建设局</w:t>
      </w:r>
    </w:p>
    <w:p w14:paraId="700737AB">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城市管理局（综合行政执法局）</w:t>
      </w:r>
    </w:p>
    <w:p w14:paraId="103585F8">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苏州高新区（虎丘区）交通运输局</w:t>
      </w:r>
    </w:p>
    <w:p w14:paraId="7763C09F">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城乡发展局（</w:t>
      </w:r>
      <w:r>
        <w:rPr>
          <w:rFonts w:hint="default" w:ascii="Times New Roman Regular" w:hAnsi="Times New Roman Regular" w:cs="Times New Roman Regular"/>
          <w:color w:val="000000"/>
          <w:szCs w:val="32"/>
          <w:lang w:val="en-US" w:eastAsia="zh-CN"/>
        </w:rPr>
        <w:t>农业农村局、水务局</w:t>
      </w:r>
      <w:r>
        <w:rPr>
          <w:rFonts w:hint="default" w:ascii="Times New Roman Regular" w:hAnsi="Times New Roman Regular" w:cs="Times New Roman Regular"/>
          <w:color w:val="000000"/>
          <w:szCs w:val="32"/>
          <w:lang w:eastAsia="zh-CN"/>
        </w:rPr>
        <w:t>）</w:t>
      </w:r>
    </w:p>
    <w:p w14:paraId="705ABCF9">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文化体育和旅游局（</w:t>
      </w:r>
      <w:r>
        <w:rPr>
          <w:rFonts w:hint="default" w:ascii="Times New Roman Regular" w:hAnsi="Times New Roman Regular" w:cs="Times New Roman Regular"/>
          <w:color w:val="000000"/>
          <w:szCs w:val="32"/>
          <w:lang w:val="en-US" w:eastAsia="zh-CN"/>
        </w:rPr>
        <w:t>文物局</w:t>
      </w:r>
      <w:r>
        <w:rPr>
          <w:rFonts w:hint="default" w:ascii="Times New Roman Regular" w:hAnsi="Times New Roman Regular" w:cs="Times New Roman Regular"/>
          <w:color w:val="000000"/>
          <w:szCs w:val="32"/>
          <w:lang w:eastAsia="zh-CN"/>
        </w:rPr>
        <w:t>）</w:t>
      </w:r>
    </w:p>
    <w:p w14:paraId="0C35C2DE">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苏州高新区（虎丘区）应急管理局</w:t>
      </w:r>
    </w:p>
    <w:p w14:paraId="2DE2EAF0">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市场监督管理局</w:t>
      </w:r>
    </w:p>
    <w:p w14:paraId="1B661C45">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苏州高新区（虎丘区）统计局</w:t>
      </w:r>
    </w:p>
    <w:p w14:paraId="041C726C">
      <w:pPr>
        <w:adjustRightInd w:val="0"/>
        <w:snapToGrid w:val="0"/>
        <w:spacing w:line="580" w:lineRule="exact"/>
        <w:ind w:firstLine="640" w:firstLineChars="200"/>
        <w:rPr>
          <w:rFonts w:hint="default" w:ascii="Times New Roman Regular" w:hAnsi="Times New Roman Regular" w:cs="Times New Roman Regular"/>
          <w:color w:val="000000"/>
          <w:szCs w:val="32"/>
          <w:highlight w:val="yellow"/>
          <w:lang w:val="en-US" w:eastAsia="zh-CN"/>
        </w:rPr>
      </w:pPr>
      <w:r>
        <w:rPr>
          <w:rFonts w:hint="default" w:ascii="Times New Roman Regular" w:hAnsi="Times New Roman Regular" w:cs="Times New Roman Regular"/>
          <w:color w:val="000000"/>
          <w:szCs w:val="32"/>
          <w:lang w:val="en-US" w:eastAsia="zh-CN"/>
        </w:rPr>
        <w:t>苏州高新区（虎丘区）国防动员办公室</w:t>
      </w:r>
    </w:p>
    <w:p w14:paraId="0879BA23">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eastAsia="zh-CN"/>
        </w:rPr>
      </w:pPr>
      <w:r>
        <w:rPr>
          <w:rFonts w:hint="default" w:ascii="Times New Roman Regular" w:hAnsi="Times New Roman Regular" w:cs="Times New Roman Regular"/>
          <w:color w:val="000000"/>
          <w:szCs w:val="32"/>
          <w:highlight w:val="none"/>
          <w:lang w:eastAsia="zh-CN"/>
        </w:rPr>
        <w:t>浒墅关经济技术开发区管理委员会</w:t>
      </w:r>
      <w:r>
        <w:rPr>
          <w:rFonts w:hint="default" w:ascii="Times New Roman Regular" w:hAnsi="Times New Roman Regular" w:cs="Times New Roman Regular"/>
          <w:color w:val="000000"/>
          <w:szCs w:val="32"/>
          <w:highlight w:val="none"/>
          <w:lang w:val="en-US" w:eastAsia="zh-CN"/>
        </w:rPr>
        <w:t>（</w:t>
      </w:r>
      <w:r>
        <w:rPr>
          <w:rFonts w:hint="default" w:ascii="Times New Roman Regular" w:hAnsi="Times New Roman Regular" w:cs="Times New Roman Regular"/>
          <w:color w:val="000000"/>
          <w:szCs w:val="32"/>
          <w:highlight w:val="none"/>
          <w:lang w:eastAsia="zh-CN"/>
        </w:rPr>
        <w:t>浒墅关镇人民政府</w:t>
      </w:r>
      <w:r>
        <w:rPr>
          <w:rFonts w:hint="default" w:ascii="Times New Roman Regular" w:hAnsi="Times New Roman Regular" w:cs="Times New Roman Regular"/>
          <w:color w:val="000000"/>
          <w:szCs w:val="32"/>
          <w:highlight w:val="none"/>
          <w:lang w:val="en-US" w:eastAsia="zh-CN"/>
        </w:rPr>
        <w:t>）</w:t>
      </w:r>
    </w:p>
    <w:p w14:paraId="57233234">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eastAsia="zh-CN"/>
        </w:rPr>
      </w:pPr>
      <w:r>
        <w:rPr>
          <w:rFonts w:hint="default" w:ascii="Times New Roman Regular" w:hAnsi="Times New Roman Regular" w:cs="Times New Roman Regular"/>
          <w:color w:val="000000"/>
          <w:szCs w:val="32"/>
          <w:highlight w:val="none"/>
          <w:lang w:eastAsia="zh-CN"/>
        </w:rPr>
        <w:t>狮山</w:t>
      </w:r>
      <w:r>
        <w:rPr>
          <w:rFonts w:hint="default" w:ascii="Times New Roman Regular" w:hAnsi="Times New Roman Regular" w:cs="Times New Roman Regular"/>
          <w:color w:val="000000"/>
          <w:szCs w:val="32"/>
          <w:highlight w:val="none"/>
          <w:lang w:val="en-US" w:eastAsia="zh-CN"/>
        </w:rPr>
        <w:t>横塘</w:t>
      </w:r>
      <w:r>
        <w:rPr>
          <w:rFonts w:hint="default" w:ascii="Times New Roman Regular" w:hAnsi="Times New Roman Regular" w:cs="Times New Roman Regular"/>
          <w:color w:val="000000"/>
          <w:szCs w:val="32"/>
          <w:highlight w:val="none"/>
          <w:lang w:eastAsia="zh-CN"/>
        </w:rPr>
        <w:t>街道办事处</w:t>
      </w:r>
    </w:p>
    <w:p w14:paraId="61F3E9D1">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eastAsia="zh-CN"/>
        </w:rPr>
      </w:pPr>
      <w:r>
        <w:rPr>
          <w:rFonts w:hint="default" w:ascii="Times New Roman Regular" w:hAnsi="Times New Roman Regular" w:cs="Times New Roman Regular"/>
          <w:color w:val="000000"/>
          <w:szCs w:val="32"/>
          <w:highlight w:val="none"/>
          <w:lang w:eastAsia="zh-CN"/>
        </w:rPr>
        <w:t>枫桥街道办事处</w:t>
      </w:r>
    </w:p>
    <w:p w14:paraId="0FAA3ADF">
      <w:pPr>
        <w:adjustRightInd w:val="0"/>
        <w:snapToGrid w:val="0"/>
        <w:spacing w:line="580" w:lineRule="exact"/>
        <w:ind w:firstLine="640" w:firstLineChars="200"/>
        <w:rPr>
          <w:rFonts w:hint="default" w:ascii="Times New Roman Regular" w:hAnsi="Times New Roman Regular" w:cs="Times New Roman Regular"/>
          <w:color w:val="000000"/>
          <w:szCs w:val="32"/>
          <w:highlight w:val="none"/>
          <w:lang w:eastAsia="zh-CN"/>
        </w:rPr>
      </w:pPr>
      <w:r>
        <w:rPr>
          <w:rFonts w:hint="default" w:ascii="Times New Roman Regular" w:hAnsi="Times New Roman Regular" w:cs="Times New Roman Regular"/>
          <w:color w:val="000000"/>
          <w:szCs w:val="32"/>
          <w:highlight w:val="none"/>
          <w:lang w:eastAsia="zh-CN"/>
        </w:rPr>
        <w:t>东渚街道办事处</w:t>
      </w:r>
    </w:p>
    <w:p w14:paraId="5A89D275">
      <w:pPr>
        <w:adjustRightInd w:val="0"/>
        <w:snapToGrid w:val="0"/>
        <w:spacing w:line="580" w:lineRule="exact"/>
        <w:ind w:firstLine="640" w:firstLineChars="200"/>
        <w:rPr>
          <w:rFonts w:hint="default" w:ascii="Times New Roman Regular" w:hAnsi="Times New Roman Regular" w:cs="Times New Roman Regular"/>
          <w:color w:val="000000"/>
          <w:szCs w:val="32"/>
          <w:highlight w:val="yellow"/>
          <w:lang w:val="en-US" w:eastAsia="zh-CN"/>
        </w:rPr>
      </w:pPr>
      <w:r>
        <w:rPr>
          <w:rFonts w:hint="default" w:ascii="Times New Roman Regular" w:hAnsi="Times New Roman Regular" w:cs="Times New Roman Regular"/>
          <w:color w:val="000000"/>
          <w:szCs w:val="32"/>
          <w:highlight w:val="none"/>
          <w:lang w:eastAsia="zh-CN"/>
        </w:rPr>
        <w:t>通安镇人民政府</w:t>
      </w:r>
    </w:p>
    <w:p w14:paraId="12F99692">
      <w:pPr>
        <w:adjustRightInd w:val="0"/>
        <w:snapToGrid w:val="0"/>
        <w:spacing w:line="580" w:lineRule="exact"/>
        <w:ind w:firstLine="640" w:firstLineChars="200"/>
        <w:rPr>
          <w:rFonts w:hint="default" w:ascii="Times New Roman Regular" w:hAnsi="Times New Roman Regular" w:eastAsia="黑体" w:cs="Times New Roman Regular"/>
          <w:color w:val="000000"/>
          <w:szCs w:val="32"/>
          <w:highlight w:val="none"/>
          <w:lang w:val="en-US" w:eastAsia="zh-CN"/>
        </w:rPr>
      </w:pPr>
      <w:r>
        <w:rPr>
          <w:rFonts w:hint="default" w:ascii="Times New Roman Regular" w:hAnsi="Times New Roman Regular" w:eastAsia="黑体" w:cs="Times New Roman Regular"/>
          <w:color w:val="000000"/>
          <w:szCs w:val="32"/>
        </w:rPr>
        <w:t>二、法定授权组织</w:t>
      </w:r>
      <w:r>
        <w:rPr>
          <w:rFonts w:hint="default" w:ascii="Times New Roman Regular" w:hAnsi="Times New Roman Regular" w:eastAsia="黑体" w:cs="Times New Roman Regular"/>
          <w:color w:val="000000"/>
          <w:szCs w:val="32"/>
          <w:lang w:eastAsia="zh-CN"/>
        </w:rPr>
        <w:t>（</w:t>
      </w:r>
      <w:r>
        <w:rPr>
          <w:rFonts w:hint="default" w:ascii="Times New Roman Regular" w:hAnsi="Times New Roman Regular" w:eastAsia="黑体" w:cs="Times New Roman Regular"/>
          <w:color w:val="000000"/>
          <w:szCs w:val="32"/>
          <w:lang w:val="en-US" w:eastAsia="zh-CN"/>
        </w:rPr>
        <w:t>5个</w:t>
      </w:r>
      <w:r>
        <w:rPr>
          <w:rFonts w:hint="default" w:ascii="Times New Roman Regular" w:hAnsi="Times New Roman Regular" w:eastAsia="黑体" w:cs="Times New Roman Regular"/>
          <w:color w:val="000000"/>
          <w:szCs w:val="32"/>
          <w:lang w:eastAsia="zh-CN"/>
        </w:rPr>
        <w:t>）</w:t>
      </w:r>
    </w:p>
    <w:p w14:paraId="20735622">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苏州高新区（虎丘区）消防救援大队</w:t>
      </w:r>
    </w:p>
    <w:p w14:paraId="49D9EC50">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苏州高新区（虎丘区）社会保险基金管理中心</w:t>
      </w:r>
    </w:p>
    <w:p w14:paraId="300200FD">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苏州高新区（虎丘区）林业站</w:t>
      </w:r>
    </w:p>
    <w:p w14:paraId="301926DF">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苏州高新区（虎丘区）交通运输综合行政执法大队</w:t>
      </w:r>
    </w:p>
    <w:p w14:paraId="5CC3B3DD">
      <w:pPr>
        <w:adjustRightInd w:val="0"/>
        <w:snapToGrid w:val="0"/>
        <w:spacing w:line="580" w:lineRule="exact"/>
        <w:ind w:firstLine="640" w:firstLineChars="200"/>
        <w:rPr>
          <w:rFonts w:hint="default" w:ascii="Times New Roman Regular" w:hAnsi="Times New Roman Regular" w:cs="Times New Roman Regular"/>
          <w:color w:val="000000"/>
          <w:szCs w:val="32"/>
        </w:rPr>
      </w:pPr>
      <w:r>
        <w:rPr>
          <w:rFonts w:hint="default" w:ascii="Times New Roman Regular" w:hAnsi="Times New Roman Regular" w:cs="Times New Roman Regular"/>
          <w:color w:val="000000"/>
          <w:szCs w:val="32"/>
        </w:rPr>
        <w:t>苏州高新有轨电车集团有限公司</w:t>
      </w:r>
    </w:p>
    <w:p w14:paraId="1C11BDCF">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eastAsia="黑体" w:cs="Times New Roman Regular"/>
          <w:color w:val="000000"/>
          <w:szCs w:val="24"/>
          <w:lang w:eastAsia="zh-CN"/>
        </w:rPr>
        <w:t>三</w:t>
      </w:r>
      <w:r>
        <w:rPr>
          <w:rFonts w:hint="default" w:ascii="Times New Roman Regular" w:hAnsi="Times New Roman Regular" w:eastAsia="黑体" w:cs="Times New Roman Regular"/>
          <w:color w:val="000000"/>
          <w:szCs w:val="24"/>
        </w:rPr>
        <w:t>、</w:t>
      </w:r>
      <w:r>
        <w:rPr>
          <w:rFonts w:hint="default" w:ascii="Times New Roman Regular" w:hAnsi="Times New Roman Regular" w:eastAsia="黑体" w:cs="Times New Roman Regular"/>
          <w:color w:val="000000"/>
          <w:szCs w:val="24"/>
          <w:lang w:eastAsia="zh-CN"/>
        </w:rPr>
        <w:t>受委托组织（</w:t>
      </w:r>
      <w:r>
        <w:rPr>
          <w:rFonts w:hint="default" w:ascii="Times New Roman Regular" w:hAnsi="Times New Roman Regular" w:eastAsia="黑体" w:cs="Times New Roman Regular"/>
          <w:color w:val="000000"/>
          <w:szCs w:val="24"/>
          <w:lang w:val="en-US" w:eastAsia="zh-CN"/>
        </w:rPr>
        <w:t>13个</w:t>
      </w:r>
      <w:r>
        <w:rPr>
          <w:rFonts w:hint="default" w:ascii="Times New Roman Regular" w:hAnsi="Times New Roman Regular" w:eastAsia="黑体" w:cs="Times New Roman Regular"/>
          <w:color w:val="000000"/>
          <w:szCs w:val="24"/>
          <w:lang w:eastAsia="zh-CN"/>
        </w:rPr>
        <w:t>）</w:t>
      </w:r>
    </w:p>
    <w:p w14:paraId="604535DB">
      <w:pPr>
        <w:adjustRightInd w:val="0"/>
        <w:snapToGrid w:val="0"/>
        <w:spacing w:line="56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建设工程招标投标服务中心</w:t>
      </w:r>
    </w:p>
    <w:p w14:paraId="14EC8920">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建设工程质量监督站（建设工程安全监督站）</w:t>
      </w:r>
    </w:p>
    <w:p w14:paraId="3A946550">
      <w:pPr>
        <w:adjustRightInd w:val="0"/>
        <w:snapToGrid w:val="0"/>
        <w:spacing w:line="56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住房保障和物业管理中心</w:t>
      </w:r>
    </w:p>
    <w:p w14:paraId="711CB917">
      <w:pPr>
        <w:adjustRightInd w:val="0"/>
        <w:snapToGrid w:val="0"/>
        <w:spacing w:line="56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苏州高新区（虎丘区）档案馆</w:t>
      </w:r>
    </w:p>
    <w:p w14:paraId="5DC30540">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城市管理行政执法大队</w:t>
      </w:r>
    </w:p>
    <w:p w14:paraId="04D6D824">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苏州高新区（虎丘区）农业水务综合执法大队</w:t>
      </w:r>
    </w:p>
    <w:p w14:paraId="6531E48E">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苏州高新区（虎丘区）农业技术服务中心</w:t>
      </w:r>
    </w:p>
    <w:p w14:paraId="6919606E">
      <w:pPr>
        <w:tabs>
          <w:tab w:val="left" w:pos="632"/>
        </w:tabs>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苏州高新区（虎丘区）河道管理所</w:t>
      </w:r>
    </w:p>
    <w:p w14:paraId="3E312813">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苏州高新区（虎丘区）供排水管理所</w:t>
      </w:r>
    </w:p>
    <w:p w14:paraId="0A5A8F3F">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苏州高新区（虎丘区）文化市场综合执法大队</w:t>
      </w:r>
    </w:p>
    <w:p w14:paraId="1E97EA71">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苏州高新区（虎丘区）卫生监督所</w:t>
      </w:r>
    </w:p>
    <w:p w14:paraId="2E36ABFD">
      <w:pPr>
        <w:adjustRightInd w:val="0"/>
        <w:snapToGrid w:val="0"/>
        <w:spacing w:line="580" w:lineRule="exact"/>
        <w:ind w:firstLine="640" w:firstLineChars="200"/>
        <w:rPr>
          <w:rFonts w:hint="default" w:ascii="Times New Roman Regular" w:hAnsi="Times New Roman Regular" w:cs="Times New Roman Regular"/>
          <w:color w:val="000000"/>
          <w:szCs w:val="32"/>
          <w:lang w:eastAsia="zh-CN"/>
        </w:rPr>
      </w:pPr>
      <w:r>
        <w:rPr>
          <w:rFonts w:hint="default" w:ascii="Times New Roman Regular" w:hAnsi="Times New Roman Regular" w:cs="Times New Roman Regular"/>
          <w:color w:val="000000"/>
          <w:szCs w:val="32"/>
          <w:lang w:val="en-US" w:eastAsia="zh-CN"/>
        </w:rPr>
        <w:t>苏州高新区（虎丘区）</w:t>
      </w:r>
      <w:r>
        <w:rPr>
          <w:rFonts w:hint="default" w:ascii="Times New Roman Regular" w:hAnsi="Times New Roman Regular" w:cs="Times New Roman Regular"/>
          <w:color w:val="000000"/>
          <w:szCs w:val="32"/>
          <w:lang w:eastAsia="zh-CN"/>
        </w:rPr>
        <w:t>应急管理综合行政执法大队</w:t>
      </w:r>
    </w:p>
    <w:p w14:paraId="37D0AFDB">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苏州高新区（虎丘区）市场监督管理综合行政执法大队</w:t>
      </w:r>
    </w:p>
    <w:p w14:paraId="1396FA00">
      <w:pPr>
        <w:numPr>
          <w:ilvl w:val="0"/>
          <w:numId w:val="1"/>
        </w:numPr>
        <w:adjustRightInd w:val="0"/>
        <w:snapToGrid w:val="0"/>
        <w:spacing w:line="560" w:lineRule="exact"/>
        <w:ind w:firstLine="640" w:firstLineChars="200"/>
        <w:rPr>
          <w:rFonts w:hint="default" w:ascii="Times New Roman Regular" w:hAnsi="Times New Roman Regular" w:eastAsia="黑体" w:cs="Times New Roman Regular"/>
          <w:color w:val="000000"/>
          <w:szCs w:val="24"/>
          <w:lang w:val="en-US" w:eastAsia="zh-CN"/>
        </w:rPr>
      </w:pPr>
      <w:r>
        <w:rPr>
          <w:rFonts w:hint="default" w:ascii="Times New Roman Regular" w:hAnsi="Times New Roman Regular" w:eastAsia="黑体" w:cs="Times New Roman Regular"/>
          <w:color w:val="000000"/>
          <w:szCs w:val="24"/>
          <w:lang w:val="en-US" w:eastAsia="zh-CN"/>
        </w:rPr>
        <w:t>有关事项</w:t>
      </w:r>
    </w:p>
    <w:p w14:paraId="5A0327F9">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1.具有行政执法权的行政机关必须在法定职责范围内实施行政检查；法律、法规授权的具有管理公共事务职能的组织必须在法定授权范围内实施行政检查；委托行政机关应当按照相关法律法规规章规定与受委托的组织签订委托协议,报区司法局备案后向社会公布;受委托的组织必须在委托范围内以委托行政机关名义实施行政检查。</w:t>
      </w:r>
    </w:p>
    <w:p w14:paraId="37EDD65F">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2.严禁政府议事协调机构和检验检测机构、科研院所等第三方、中介机构以及未取得执法证件的执法辅助人员、网格员、临时工等人员实施行政检查。</w:t>
      </w:r>
    </w:p>
    <w:p w14:paraId="6B68453E">
      <w:pPr>
        <w:adjustRightInd w:val="0"/>
        <w:snapToGrid w:val="0"/>
        <w:spacing w:line="580" w:lineRule="exact"/>
        <w:ind w:firstLine="640" w:firstLineChars="200"/>
        <w:rPr>
          <w:rFonts w:hint="default" w:ascii="Times New Roman Regular" w:hAnsi="Times New Roman Regular" w:cs="Times New Roman Regular"/>
          <w:color w:val="000000"/>
          <w:szCs w:val="32"/>
          <w:lang w:val="en-US" w:eastAsia="zh-CN"/>
        </w:rPr>
      </w:pPr>
      <w:r>
        <w:rPr>
          <w:rFonts w:hint="default" w:ascii="Times New Roman Regular" w:hAnsi="Times New Roman Regular" w:cs="Times New Roman Regular"/>
          <w:color w:val="000000"/>
          <w:szCs w:val="32"/>
          <w:lang w:val="en-US" w:eastAsia="zh-CN"/>
        </w:rPr>
        <w:t>3.行政检查主体实行动态管理，因机构改革、职能变更或法律法规规章立改废等情况导致行政检查主体发生变化的，有关部门应当及时报区司法局审核。</w:t>
      </w:r>
    </w:p>
    <w:p w14:paraId="19EAB7CB">
      <w:pPr>
        <w:adjustRightInd w:val="0"/>
        <w:snapToGrid w:val="0"/>
        <w:spacing w:line="560" w:lineRule="exact"/>
        <w:rPr>
          <w:rFonts w:hint="default" w:ascii="Times New Roman Regular" w:hAnsi="Times New Roman Regular" w:cs="Times New Roman Regular"/>
          <w:color w:val="000000"/>
          <w:szCs w:val="32"/>
          <w:lang w:val="en-US" w:eastAsia="zh-CN"/>
        </w:rPr>
      </w:pPr>
    </w:p>
    <w:p w14:paraId="5191116D"/>
    <w:sectPr>
      <w:footerReference r:id="rId3" w:type="default"/>
      <w:footerReference r:id="rId4" w:type="even"/>
      <w:pgSz w:w="11906" w:h="16838"/>
      <w:pgMar w:top="2041" w:right="1474" w:bottom="1985" w:left="1588" w:header="851" w:footer="152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 w:name="小标宋">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CD50">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2EAC96C">
                          <w:pPr>
                            <w:pStyle w:val="2"/>
                            <w:rPr>
                              <w:rStyle w:val="6"/>
                              <w:rFonts w:hint="eastAsia"/>
                              <w:sz w:val="28"/>
                              <w:szCs w:val="28"/>
                            </w:rPr>
                          </w:pPr>
                          <w:r>
                            <w:rPr>
                              <w:rStyle w:val="6"/>
                              <w:rFonts w:hint="eastAsia"/>
                              <w:sz w:val="28"/>
                              <w:szCs w:val="28"/>
                            </w:rPr>
                            <w:t>—</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2</w:t>
                          </w:r>
                          <w:r>
                            <w:rPr>
                              <w:rStyle w:val="6"/>
                              <w:sz w:val="28"/>
                              <w:szCs w:val="28"/>
                            </w:rPr>
                            <w:fldChar w:fldCharType="end"/>
                          </w:r>
                          <w:r>
                            <w:rPr>
                              <w:rStyle w:val="6"/>
                              <w:rFonts w:hint="eastAsia"/>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22EAC96C">
                    <w:pPr>
                      <w:pStyle w:val="2"/>
                      <w:rPr>
                        <w:rStyle w:val="6"/>
                        <w:rFonts w:hint="eastAsia"/>
                        <w:sz w:val="28"/>
                        <w:szCs w:val="28"/>
                      </w:rPr>
                    </w:pPr>
                    <w:r>
                      <w:rPr>
                        <w:rStyle w:val="6"/>
                        <w:rFonts w:hint="eastAsia"/>
                        <w:sz w:val="28"/>
                        <w:szCs w:val="28"/>
                      </w:rPr>
                      <w:t>—</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2</w:t>
                    </w:r>
                    <w:r>
                      <w:rPr>
                        <w:rStyle w:val="6"/>
                        <w:sz w:val="28"/>
                        <w:szCs w:val="28"/>
                      </w:rPr>
                      <w:fldChar w:fldCharType="end"/>
                    </w:r>
                    <w:r>
                      <w:rPr>
                        <w:rStyle w:val="6"/>
                        <w:rFonts w:hint="eastAsia"/>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B005B">
    <w:pPr>
      <w:pStyle w:val="2"/>
      <w:framePr w:wrap="around" w:vAnchor="text" w:hAnchor="page" w:x="1929" w:y="-254"/>
      <w:rPr>
        <w:rStyle w:val="6"/>
        <w:rFonts w:hint="eastAsia"/>
        <w:sz w:val="28"/>
        <w:szCs w:val="28"/>
      </w:rPr>
    </w:pPr>
    <w:r>
      <w:rPr>
        <w:rStyle w:val="6"/>
        <w:rFonts w:hint="eastAsia"/>
        <w:sz w:val="28"/>
        <w:szCs w:val="28"/>
      </w:rPr>
      <w:t>—</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4</w:t>
    </w:r>
    <w:r>
      <w:rPr>
        <w:rStyle w:val="6"/>
        <w:sz w:val="28"/>
        <w:szCs w:val="28"/>
      </w:rPr>
      <w:fldChar w:fldCharType="end"/>
    </w:r>
    <w:r>
      <w:rPr>
        <w:rStyle w:val="6"/>
        <w:rFonts w:hint="eastAsia"/>
        <w:sz w:val="28"/>
        <w:szCs w:val="28"/>
      </w:rPr>
      <w:t>—</w:t>
    </w:r>
  </w:p>
  <w:p w14:paraId="6DE05860">
    <w:pPr>
      <w:pStyle w:val="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E17247"/>
    <w:multiLevelType w:val="singleLevel"/>
    <w:tmpl w:val="09E1724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ED3BE2"/>
    <w:rsid w:val="60ED3BE2"/>
    <w:rsid w:val="7B392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Times New Roman" w:eastAsia="仿宋_GB2312" w:cs="Times New Roman"/>
      <w:sz w:val="32"/>
      <w:lang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Times New Roman" w:eastAsia="宋体"/>
      <w:kern w:val="2"/>
      <w:sz w:val="18"/>
      <w:szCs w:val="18"/>
      <w:lang w:val="en-US" w:eastAsia="zh-CN"/>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page number"/>
    <w:basedOn w:val="5"/>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7</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2025-05-22T00:11:00Z</dcterms:created>
  <dc:creator>涛哥</dc:creator>
  <cp:lastModifiedBy>涛哥</cp:lastModifiedBy>
  <dcterms:modified xsi:type="dcterms:W3CDTF">2025-05-22T00:19:29Z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276C023A8AE74479A540371C698DC430_13</vt:lpwstr>
  </property>
  <property fmtid="{D5CDD505-2E9C-101B-9397-08002B2CF9AE}" pid="4" name="KSOTemplateDocerSaveRecord">
    <vt:lpwstr>eyJoZGlkIjoiNWUxNWQ4MDcxMjViYWU5MzgyM2I1NGM3ZjkzNjQ4NGEiLCJ1c2VySWQiOiIyMDEyNTc4NzAifQ==</vt:lpwstr>
  </property>
</Properties>
</file>